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24"/>
        <w:ind w:left="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1325"/>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325"/>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1325"/>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1324"/>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rPr>
          <w:rFonts w:ascii="宋体" w:hAnsi="宋体" w:cs="宋体"/>
          <w:b/>
          <w:color w:val="000000" w:themeColor="text1"/>
          <w:spacing w:val="76"/>
          <w:sz w:val="112"/>
          <w:szCs w:val="112"/>
          <w:highlight w:val="none"/>
          <w14:textFill>
            <w14:solidFill>
              <w14:schemeClr w14:val="tx1"/>
            </w14:solidFill>
          </w14:textFill>
        </w:rPr>
      </w:pPr>
      <w:r>
        <w:rPr>
          <w:rFonts w:hint="eastAsia" w:ascii="宋体" w:hAnsi="宋体" w:cs="宋体"/>
          <w:b/>
          <w:color w:val="000000" w:themeColor="text1"/>
          <w:spacing w:val="76"/>
          <w:sz w:val="100"/>
          <w:szCs w:val="100"/>
          <w:highlight w:val="none"/>
          <w14:textFill>
            <w14:solidFill>
              <w14:schemeClr w14:val="tx1"/>
            </w14:solidFill>
          </w14:textFill>
        </w:rPr>
        <w:t xml:space="preserve">竞争性磋商文件</w:t>
      </w:r>
      <w:r/>
    </w:p>
    <w:p>
      <w:pPr>
        <w:pStyle w:val="1324"/>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324"/>
        <w:ind w:left="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325"/>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325"/>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643"/>
        <w:jc w:val="center"/>
        <w:rPr>
          <w:rFonts w:ascii="宋体" w:hAnsi="宋体" w:cs="宋体"/>
          <w:b/>
          <w:bCs/>
          <w:color w:val="000000" w:themeColor="text1"/>
          <w:sz w:val="32"/>
          <w:szCs w:val="32"/>
          <w:highlight w:val="none"/>
          <w14:textFill>
            <w14:solidFill>
              <w14:schemeClr w14:val="tx1"/>
            </w14:solidFill>
          </w14:textFill>
        </w:rPr>
      </w:pPr>
      <w:r>
        <w:rPr>
          <w:rFonts w:ascii="宋体" w:hAnsi="宋体" w:cs="宋体"/>
          <w:b/>
          <w:bCs/>
          <w:color w:val="000000" w:themeColor="text1"/>
          <w:sz w:val="32"/>
          <w:szCs w:val="32"/>
          <w:highlight w:val="none"/>
          <w14:textFill>
            <w14:solidFill>
              <w14:schemeClr w14:val="tx1"/>
            </w14:solidFill>
          </w14:textFill>
        </w:rPr>
      </w:r>
      <w:r/>
    </w:p>
    <w:p>
      <w:pPr>
        <w:ind w:firstLine="320"/>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ind w:firstLine="320"/>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ind w:firstLine="320"/>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ind w:firstLine="960"/>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JSZC-320322-GHGL-C2025-0002</w:t>
      </w:r>
      <w:r/>
    </w:p>
    <w:p>
      <w:pPr>
        <w:ind w:left="1919" w:hanging="1600"/>
        <w:spacing w:line="360" w:lineRule="auto"/>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ind w:right="-218" w:firstLine="960"/>
        <w:jc w:val="both"/>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项目名称：</w:t>
      </w:r>
      <w:r>
        <w:rPr>
          <w:rFonts w:hint="eastAsia" w:ascii="宋体" w:hAnsi="宋体" w:cs="宋体"/>
          <w:color w:val="000000" w:themeColor="text1"/>
          <w:sz w:val="32"/>
          <w:szCs w:val="32"/>
          <w:highlight w:val="none"/>
          <w:lang w:eastAsia="zh-CN"/>
          <w14:textFill>
            <w14:solidFill>
              <w14:schemeClr w14:val="tx1"/>
            </w14:solidFill>
          </w14:textFill>
        </w:rPr>
        <w:t xml:space="preserve">智能化公厕改造项目（2025年城区公厕改造及维修工程）</w:t>
      </w:r>
      <w:r/>
    </w:p>
    <w:p>
      <w:pPr>
        <w:ind w:firstLine="320"/>
        <w:rPr>
          <w:rFonts w:hint="eastAsia" w:ascii="宋体" w:hAnsi="宋体" w:eastAsia="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t xml:space="preserve"> </w:t>
      </w:r>
      <w:r/>
    </w:p>
    <w:p>
      <w:pPr>
        <w:ind w:firstLine="1280"/>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采 购 人：</w:t>
      </w:r>
      <w:r>
        <w:rPr>
          <w:rFonts w:hint="eastAsia" w:ascii="宋体" w:hAnsi="宋体" w:cs="宋体"/>
          <w:color w:val="000000" w:themeColor="text1"/>
          <w:sz w:val="32"/>
          <w:szCs w:val="32"/>
          <w:highlight w:val="none"/>
          <w:lang w:eastAsia="zh-CN"/>
          <w14:textFill>
            <w14:solidFill>
              <w14:schemeClr w14:val="tx1"/>
            </w14:solidFill>
          </w14:textFill>
        </w:rPr>
        <w:t xml:space="preserve">沛县城市管理局</w:t>
      </w:r>
      <w:r/>
    </w:p>
    <w:p>
      <w:pPr>
        <w:ind w:right="-159" w:firstLine="2112"/>
        <w:spacing w:line="300" w:lineRule="auto"/>
        <w:rPr>
          <w:rFonts w:ascii="宋体" w:hAnsi="宋体" w:cs="宋体"/>
          <w:color w:val="000000" w:themeColor="text1"/>
          <w:sz w:val="44"/>
          <w:highlight w:val="none"/>
          <w14:textFill>
            <w14:solidFill>
              <w14:schemeClr w14:val="tx1"/>
            </w14:solidFill>
          </w14:textFill>
        </w:rPr>
      </w:pPr>
      <w:r>
        <w:rPr>
          <w:rFonts w:ascii="宋体" w:hAnsi="宋体" w:cs="宋体"/>
          <w:color w:val="000000" w:themeColor="text1"/>
          <w:sz w:val="44"/>
          <w:highlight w:val="none"/>
          <w14:textFill>
            <w14:solidFill>
              <w14:schemeClr w14:val="tx1"/>
            </w14:solidFill>
          </w14:textFill>
        </w:rPr>
      </w:r>
      <w:r/>
    </w:p>
    <w:p>
      <w:pPr>
        <w:ind w:firstLine="1200"/>
        <w:jc w:val="both"/>
        <w:spacing w:line="360" w:lineRule="auto"/>
        <w:rPr>
          <w:rFonts w:hint="eastAsia" w:ascii="宋体" w:hAnsi="宋体" w:eastAsia="宋体" w:cs="宋体"/>
          <w:color w:val="000000" w:themeColor="text1"/>
          <w:sz w:val="30"/>
          <w:highlight w:val="none"/>
          <w:lang w:eastAsia="zh-CN"/>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采购代理机构：</w:t>
      </w:r>
      <w:r>
        <w:rPr>
          <w:rFonts w:hint="eastAsia" w:ascii="宋体" w:hAnsi="宋体" w:cs="宋体"/>
          <w:color w:val="000000" w:themeColor="text1"/>
          <w:sz w:val="30"/>
          <w:highlight w:val="none"/>
          <w:lang w:eastAsia="zh-CN"/>
          <w14:textFill>
            <w14:solidFill>
              <w14:schemeClr w14:val="tx1"/>
            </w14:solidFill>
          </w14:textFill>
        </w:rPr>
        <w:t xml:space="preserve">国华工程咨询管理有限公司</w:t>
      </w:r>
      <w:r/>
    </w:p>
    <w:p>
      <w:pPr>
        <w:jc w:val="center"/>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t xml:space="preserve">二〇二</w:t>
      </w:r>
      <w:r>
        <w:rPr>
          <w:rFonts w:hint="eastAsia" w:ascii="宋体" w:hAnsi="宋体" w:cs="宋体"/>
          <w:bCs/>
          <w:color w:val="000000" w:themeColor="text1"/>
          <w:sz w:val="30"/>
          <w:highlight w:val="none"/>
          <w:lang w:val="en-US" w:eastAsia="zh-CN"/>
          <w14:textFill>
            <w14:solidFill>
              <w14:schemeClr w14:val="tx1"/>
            </w14:solidFill>
          </w14:textFill>
        </w:rPr>
        <w:t xml:space="preserve">五</w:t>
      </w:r>
      <w:r>
        <w:rPr>
          <w:rFonts w:hint="eastAsia" w:ascii="宋体" w:hAnsi="宋体" w:cs="宋体"/>
          <w:bCs/>
          <w:color w:val="000000" w:themeColor="text1"/>
          <w:sz w:val="30"/>
          <w:highlight w:val="none"/>
          <w14:textFill>
            <w14:solidFill>
              <w14:schemeClr w14:val="tx1"/>
            </w14:solidFill>
          </w14:textFill>
        </w:rPr>
        <w:t xml:space="preserve">年</w:t>
      </w:r>
      <w:r>
        <w:rPr>
          <w:rFonts w:hint="eastAsia" w:ascii="宋体" w:hAnsi="宋体" w:cs="宋体"/>
          <w:bCs/>
          <w:color w:val="000000" w:themeColor="text1"/>
          <w:sz w:val="30"/>
          <w:highlight w:val="none"/>
          <w:lang w:val="en-US" w:eastAsia="zh-CN"/>
          <w14:textFill>
            <w14:solidFill>
              <w14:schemeClr w14:val="tx1"/>
            </w14:solidFill>
          </w14:textFill>
        </w:rPr>
        <w:t xml:space="preserve">十二</w:t>
      </w:r>
      <w:r>
        <w:rPr>
          <w:rFonts w:hint="eastAsia" w:ascii="宋体" w:hAnsi="宋体" w:cs="宋体"/>
          <w:bCs/>
          <w:color w:val="000000" w:themeColor="text1"/>
          <w:sz w:val="30"/>
          <w:highlight w:val="none"/>
          <w14:textFill>
            <w14:solidFill>
              <w14:schemeClr w14:val="tx1"/>
            </w14:solidFill>
          </w14:textFill>
        </w:rPr>
        <w:t xml:space="preserve">月</w:t>
      </w:r>
      <w:bookmarkStart w:id="582" w:name="_GoBack"/>
      <w:r/>
      <w:bookmarkEnd w:id="582"/>
      <w:r/>
      <w:r/>
    </w:p>
    <w:p>
      <w:pPr>
        <w:spacing w:line="0" w:lineRule="atLeast"/>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0" w:lineRule="atLeast"/>
        <w:rPr>
          <w:rFonts w:ascii="宋体" w:hAnsi="宋体" w:cs="宋体"/>
          <w:b/>
          <w:color w:val="000000" w:themeColor="text1"/>
          <w:sz w:val="36"/>
          <w:highlight w:val="none"/>
          <w14:textFill>
            <w14:solidFill>
              <w14:schemeClr w14:val="tx1"/>
            </w14:solidFill>
          </w14:textFill>
        </w:rPr>
        <w:sectPr>
          <w:headerReference w:type="default" r:id="rId9"/>
          <w:headerReference w:type="first" r:id="rId10"/>
          <w:footerReference w:type="default" r:id="rId16"/>
          <w:footerReference w:type="even" r:id="rId17"/>
          <w:footerReference w:type="first" r:id="rId18"/>
          <w:footnotePr/>
          <w:endnotePr/>
          <w:type w:val="nextPage"/>
          <w:pgSz w:w="11906" w:h="16838" w:orient="portrait"/>
          <w:pgMar w:top="1134" w:right="1709" w:bottom="1134" w:left="1797" w:header="851" w:footer="992" w:gutter="0"/>
          <w:pgNumType w:start="1"/>
          <w:cols w:num="1" w:sep="0" w:space="1701" w:equalWidth="1"/>
          <w:docGrid w:linePitch="360"/>
          <w:titlePg/>
        </w:sect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竞争性磋商文件</w:t>
      </w:r>
      <w:r/>
    </w:p>
    <w:p>
      <w:pPr>
        <w:jc w:val="center"/>
        <w:spacing w:line="360" w:lineRule="auto"/>
        <w:rPr>
          <w:rFonts w:hint="eastAsia" w:ascii="宋体" w:hAnsi="宋体" w:eastAsia="宋体" w:cs="宋体"/>
          <w:b/>
          <w:bCs/>
          <w:color w:val="000000" w:themeColor="text1"/>
          <w:sz w:val="24"/>
          <w:highlight w:val="none"/>
          <w:u w:val="single"/>
          <w:lang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项目编号：</w:t>
      </w:r>
      <w:r>
        <w:rPr>
          <w:rFonts w:hint="eastAsia" w:ascii="宋体" w:hAnsi="宋体" w:cs="宋体"/>
          <w:b/>
          <w:bCs/>
          <w:color w:val="000000" w:themeColor="text1"/>
          <w:sz w:val="24"/>
          <w:highlight w:val="none"/>
          <w:lang w:eastAsia="zh-CN"/>
          <w14:textFill>
            <w14:solidFill>
              <w14:schemeClr w14:val="tx1"/>
            </w14:solidFill>
          </w14:textFill>
        </w:rPr>
        <w:t xml:space="preserve">JSZC-320322-GHGL-C2025-0002</w:t>
      </w:r>
      <w:r/>
    </w:p>
    <w:p>
      <w:pPr>
        <w:spacing w:line="360" w:lineRule="auto"/>
        <w:tabs>
          <w:tab w:val="left" w:pos="32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（供应商）：</w:t>
      </w:r>
      <w:r/>
    </w:p>
    <w:p>
      <w:pPr>
        <w:ind w:firstLine="497"/>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eastAsia="zh-CN"/>
          <w14:textFill>
            <w14:solidFill>
              <w14:schemeClr w14:val="tx1"/>
            </w14:solidFill>
          </w14:textFill>
        </w:rPr>
        <w:t xml:space="preserve">国华工程咨询管理有限公司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智能化公厕改造项目（2025年城区公厕改造及维修工程）</w:t>
      </w:r>
      <w:r>
        <w:rPr>
          <w:rFonts w:hint="eastAsia" w:ascii="宋体" w:hAnsi="宋体" w:cs="宋体"/>
          <w:color w:val="000000" w:themeColor="text1"/>
          <w:sz w:val="24"/>
          <w:highlight w:val="none"/>
          <w14:textFill>
            <w14:solidFill>
              <w14:schemeClr w14:val="tx1"/>
            </w14:solidFill>
          </w14:textFill>
        </w:rPr>
        <w:t xml:space="preserve">项目采取竞争性磋商采购方式进行采购，竞争性磋商文件（以下简称《磋商文件》）内容如下：</w:t>
      </w:r>
      <w:r/>
    </w:p>
    <w:p>
      <w:pPr>
        <w:ind w:left="497"/>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第一章 项目说明</w:t>
      </w:r>
      <w:r/>
    </w:p>
    <w:p>
      <w:pPr>
        <w:numPr>
          <w:ilvl w:val="0"/>
          <w:numId w:val="2"/>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w:t>
      </w:r>
      <w:r>
        <w:rPr>
          <w:rFonts w:hint="eastAsia" w:ascii="宋体" w:hAnsi="宋体" w:cs="宋体"/>
          <w:color w:val="000000" w:themeColor="text1"/>
          <w:sz w:val="24"/>
          <w:highlight w:val="none"/>
          <w:lang w:eastAsia="zh-CN"/>
          <w14:textFill>
            <w14:solidFill>
              <w14:schemeClr w14:val="tx1"/>
            </w14:solidFill>
          </w14:textFill>
        </w:rPr>
        <w:t xml:space="preserve">沛县城市管理局</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二、项目名称：</w:t>
      </w:r>
      <w:r>
        <w:rPr>
          <w:rFonts w:hint="eastAsia" w:ascii="宋体" w:hAnsi="宋体" w:cs="宋体"/>
          <w:color w:val="000000" w:themeColor="text1"/>
          <w:sz w:val="24"/>
          <w:highlight w:val="none"/>
          <w:lang w:eastAsia="zh-CN"/>
          <w14:textFill>
            <w14:solidFill>
              <w14:schemeClr w14:val="tx1"/>
            </w14:solidFill>
          </w14:textFill>
        </w:rPr>
        <w:t xml:space="preserve">智能化公厕改造项目（2025年城区公厕改造及维修工程）</w:t>
      </w:r>
      <w:r>
        <w:rPr>
          <w:rFonts w:hint="eastAsia" w:ascii="宋体" w:hAnsi="宋体" w:cs="宋体"/>
          <w:color w:val="000000" w:themeColor="text1"/>
          <w:sz w:val="24"/>
          <w:highlight w:val="none"/>
          <w14:textFill>
            <w14:solidFill>
              <w14:schemeClr w14:val="tx1"/>
            </w14:solidFill>
          </w14:textFill>
        </w:rPr>
        <w:t xml:space="preserve">。</w:t>
      </w:r>
      <w:r/>
    </w:p>
    <w:p>
      <w:pPr>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三、项目编号：</w:t>
      </w:r>
      <w:r>
        <w:rPr>
          <w:rFonts w:hint="eastAsia" w:ascii="宋体" w:hAnsi="宋体" w:cs="宋体"/>
          <w:color w:val="000000" w:themeColor="text1"/>
          <w:sz w:val="24"/>
          <w:highlight w:val="none"/>
          <w:lang w:eastAsia="zh-CN"/>
          <w14:textFill>
            <w14:solidFill>
              <w14:schemeClr w14:val="tx1"/>
            </w14:solidFill>
          </w14:textFill>
        </w:rPr>
        <w:t xml:space="preserve">JSZC-320322-GHGL-C2025-0002</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四、采购邀请：通过发布公告的方式邀请符合相应资格条件的供应商参与竞争性磋商采购活动。</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五、采购方式：本项目采用竞争性磋商采购方式。</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六、供应商资格条件：见竞争性磋商公告。</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七、采购预算（采购项目预算金额）：见《磋商文件》附件2、《项目要求（采购需求）》。</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八、采购需求：</w:t>
      </w:r>
      <w:r>
        <w:rPr>
          <w:rFonts w:hint="eastAsia" w:ascii="宋体" w:hAnsi="宋体" w:cs="宋体"/>
          <w:color w:val="000000" w:themeColor="text1"/>
          <w:sz w:val="24"/>
          <w:highlight w:val="none"/>
          <w14:textFill>
            <w14:solidFill>
              <w14:schemeClr w14:val="tx1"/>
            </w14:solidFill>
          </w14:textFill>
        </w:rPr>
        <w:t xml:space="preserve">见《磋商文件》附件2、《项目要求（采购需求）》。</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九、拟签订的合同文本：</w:t>
      </w:r>
      <w:r>
        <w:rPr>
          <w:rFonts w:hint="eastAsia" w:ascii="宋体" w:hAnsi="宋体" w:cs="宋体"/>
          <w:color w:val="000000" w:themeColor="text1"/>
          <w:sz w:val="24"/>
          <w:highlight w:val="none"/>
          <w14:textFill>
            <w14:solidFill>
              <w14:schemeClr w14:val="tx1"/>
            </w14:solidFill>
          </w14:textFill>
        </w:rPr>
        <w:t xml:space="preserve">见《磋商文件》附件6、《拟签订的合同文本》。</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十、报价要求</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1、供应商报价为要约，</w:t>
      </w:r>
      <w:r>
        <w:rPr>
          <w:rFonts w:hint="eastAsia" w:ascii="宋体" w:hAnsi="宋体" w:cs="宋体"/>
          <w:color w:val="000000" w:themeColor="text1"/>
          <w:sz w:val="24"/>
          <w:highlight w:val="none"/>
          <w:u w:val="single"/>
          <w:lang w:eastAsia="zh-CN"/>
          <w14:textFill>
            <w14:solidFill>
              <w14:schemeClr w14:val="tx1"/>
            </w14:solidFill>
          </w14:textFill>
        </w:rPr>
        <w:t xml:space="preserve">国华工程咨询管理有限公司</w:t>
      </w:r>
      <w:r>
        <w:rPr>
          <w:rFonts w:hint="eastAsia" w:ascii="宋体" w:hAnsi="宋体" w:cs="宋体"/>
          <w:color w:val="000000" w:themeColor="text1"/>
          <w:sz w:val="24"/>
          <w:highlight w:val="none"/>
          <w14:textFill>
            <w14:solidFill>
              <w14:schemeClr w14:val="tx1"/>
            </w14:solidFill>
          </w14:textFill>
        </w:rPr>
        <w:t xml:space="preserve">无承诺表示时视为未成交，</w:t>
      </w:r>
      <w:r>
        <w:rPr>
          <w:rFonts w:hint="eastAsia" w:ascii="宋体" w:hAnsi="宋体" w:cs="宋体"/>
          <w:color w:val="000000" w:themeColor="text1"/>
          <w:sz w:val="24"/>
          <w:highlight w:val="none"/>
          <w:u w:val="single"/>
          <w:lang w:eastAsia="zh-CN"/>
          <w14:textFill>
            <w14:solidFill>
              <w14:schemeClr w14:val="tx1"/>
            </w14:solidFill>
          </w14:textFill>
        </w:rPr>
        <w:t xml:space="preserve">国华工程咨询管理有限公司</w:t>
      </w:r>
      <w:r>
        <w:rPr>
          <w:rFonts w:hint="eastAsia" w:ascii="宋体" w:hAnsi="宋体" w:cs="宋体"/>
          <w:color w:val="000000" w:themeColor="text1"/>
          <w:sz w:val="24"/>
          <w:highlight w:val="none"/>
          <w14:textFill>
            <w14:solidFill>
              <w14:schemeClr w14:val="tx1"/>
            </w14:solidFill>
          </w14:textFill>
        </w:rPr>
        <w:t xml:space="preserve">认为必要时可重新进行竞争性磋商采购或采取其它方式采购。</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2、按照《磋商报价表》要求填写首次报价。</w:t>
      </w:r>
      <w:r/>
    </w:p>
    <w:p>
      <w:pPr>
        <w:ind w:right="-57"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第二章 磋商保证金</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十一、供应商提交磋商保证金</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1、磋商保证金交纳数额和形式：不需交纳。</w:t>
      </w:r>
      <w:r/>
    </w:p>
    <w:p>
      <w:pPr>
        <w:ind w:left="497"/>
        <w:jc w:val="center"/>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ind w:left="497"/>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第三章 响应文件</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十二、提交响应文件要求：</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“苏采云”系统使用要求：</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1、使用谷歌浏览器参与不见面开标及磋商环节。</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2、电脑需提前准备好麦克风、音响，摄像头，提前检查保证能够正常使用。</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3、操作系统至少win7以上，建议使用win10操作系统。</w:t>
      </w:r>
      <w:r/>
    </w:p>
    <w:p>
      <w:pPr>
        <w:pStyle w:val="13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（二）首次响应文件提交的截止时间：202</w:t>
      </w:r>
      <w:r>
        <w:rPr>
          <w:rFonts w:hint="eastAsia" w:ascii="宋体" w:hAnsi="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14:textFill>
            <w14:solidFill>
              <w14:schemeClr w14:val="tx1"/>
            </w14:solidFill>
          </w14:textFill>
        </w:rPr>
        <w:t xml:space="preserve">年</w:t>
      </w:r>
      <w:r>
        <w:rPr>
          <w:rFonts w:hint="eastAsia" w:ascii="宋体" w:hAnsi="宋体" w:cs="宋体"/>
          <w:b/>
          <w:bCs/>
          <w:color w:val="000000" w:themeColor="text1"/>
          <w:sz w:val="24"/>
          <w:highlight w:val="none"/>
          <w:u w:val="single"/>
          <w14:textFill>
            <w14:solidFill>
              <w14:schemeClr w14:val="tx1"/>
            </w14:solidFill>
          </w14:textFill>
        </w:rPr>
        <w:t xml:space="preserve"> 12</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u w:val="single"/>
          <w14:textFill>
            <w14:solidFill>
              <w14:schemeClr w14:val="tx1"/>
            </w14:solidFill>
          </w14:textFill>
        </w:rPr>
        <w:t xml:space="preserve"> 17</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日上午09：30，</w:t>
      </w:r>
      <w:r>
        <w:rPr>
          <w:rFonts w:hint="eastAsia" w:ascii="宋体" w:hAnsi="宋体" w:cs="宋体"/>
          <w:color w:val="000000" w:themeColor="text1"/>
          <w:sz w:val="24"/>
          <w:highlight w:val="none"/>
          <w14:textFill>
            <w14:solidFill>
              <w14:schemeClr w14:val="tx1"/>
            </w14:solidFill>
          </w14:textFill>
        </w:rPr>
        <w:t xml:space="preserve">在截止时间后提交的首次响应文件为无效文件，将被拒收。</w:t>
      </w:r>
      <w:r/>
    </w:p>
    <w:p>
      <w:pPr>
        <w:pStyle w:val="132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（三）首次响应文件提交时间、地点：</w:t>
      </w:r>
      <w:r/>
    </w:p>
    <w:p>
      <w:pPr>
        <w:pStyle w:val="1320"/>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1、提交时间</w:t>
      </w:r>
      <w:r/>
    </w:p>
    <w:p>
      <w:pPr>
        <w:pStyle w:val="1320"/>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highlight w:val="none"/>
          <w14:textFill>
            <w14:solidFill>
              <w14:schemeClr w14:val="tx1"/>
            </w14:solidFill>
          </w14:textFill>
        </w:rPr>
        <w:t xml:space="preserve">（202</w:t>
      </w:r>
      <w:r>
        <w:rPr>
          <w:rFonts w:hint="eastAsia" w:ascii="宋体" w:hAnsi="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14:textFill>
            <w14:solidFill>
              <w14:schemeClr w14:val="tx1"/>
            </w14:solidFill>
          </w14:textFill>
        </w:rPr>
        <w:t xml:space="preserve">年</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12 </w:t>
      </w:r>
      <w:r>
        <w:rPr>
          <w:rFonts w:hint="eastAsia" w:ascii="宋体" w:hAnsi="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17 </w:t>
      </w:r>
      <w:r>
        <w:rPr>
          <w:rFonts w:hint="eastAsia" w:ascii="宋体" w:hAnsi="宋体" w:cs="宋体"/>
          <w:b/>
          <w:bCs/>
          <w:color w:val="000000" w:themeColor="text1"/>
          <w:sz w:val="24"/>
          <w:highlight w:val="none"/>
          <w14:textFill>
            <w14:solidFill>
              <w14:schemeClr w14:val="tx1"/>
            </w14:solidFill>
          </w14:textFill>
        </w:rPr>
        <w:t xml:space="preserve">日上午09：30）前。</w:t>
      </w:r>
      <w:r/>
    </w:p>
    <w:p>
      <w:pPr>
        <w:pStyle w:val="1320"/>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2、提交地点：</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 </w:t>
      </w:r>
      <w:r/>
    </w:p>
    <w:p>
      <w:pPr>
        <w:pStyle w:val="132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（四）首次响应文件开启时间：202</w:t>
      </w:r>
      <w:r>
        <w:rPr>
          <w:rFonts w:hint="eastAsia" w:ascii="宋体" w:hAnsi="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14:textFill>
            <w14:solidFill>
              <w14:schemeClr w14:val="tx1"/>
            </w14:solidFill>
          </w14:textFill>
        </w:rPr>
        <w:t xml:space="preserve">年</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12 </w:t>
      </w:r>
      <w:r>
        <w:rPr>
          <w:rFonts w:hint="eastAsia" w:ascii="宋体" w:hAnsi="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17</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日上午09：30。</w:t>
      </w:r>
      <w:r/>
    </w:p>
    <w:p>
      <w:pPr>
        <w:pStyle w:val="132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（五）首次响应文件开启地点：</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p>
    <w:p>
      <w:pPr>
        <w:pStyle w:val="13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320"/>
        <w:jc w:val="left"/>
        <w:spacing w:line="360" w:lineRule="auto"/>
        <w:shd w:val="clear" w:color="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（七）不接受不按要求加盖公章（电子签章）的首次响应文件。电子签章相关要求见“苏采云”系统。</w:t>
      </w:r>
      <w:r/>
    </w:p>
    <w:p>
      <w:pPr>
        <w:pStyle w:val="13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（八）首次响应文件解密：到达开启时间，</w:t>
      </w:r>
      <w:r>
        <w:rPr>
          <w:rFonts w:hint="eastAsia" w:ascii="宋体" w:hAnsi="宋体" w:cs="宋体"/>
          <w:color w:val="000000" w:themeColor="text1"/>
          <w:sz w:val="24"/>
          <w:highlight w:val="none"/>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themeColor="text1"/>
          <w:sz w:val="24"/>
          <w:highlight w:val="none"/>
          <w14:textFill>
            <w14:solidFill>
              <w14:schemeClr w14:val="tx1"/>
            </w14:solidFill>
          </w14:textFill>
        </w:rPr>
        <w:t xml:space="preserve">开启时间后30分钟内</w:t>
      </w:r>
      <w:r>
        <w:rPr>
          <w:rFonts w:hint="eastAsia" w:ascii="宋体" w:hAnsi="宋体" w:cs="宋体"/>
          <w:color w:val="000000" w:themeColor="text1"/>
          <w:sz w:val="24"/>
          <w:highlight w:val="none"/>
          <w14:textFill>
            <w14:solidFill>
              <w14:schemeClr w14:val="tx1"/>
            </w14:solidFill>
          </w14:textFill>
        </w:rPr>
        <w:t xml:space="preserve">，通过“苏采云”系统（使用“CA数字证书”）解密。</w:t>
      </w:r>
      <w:r/>
    </w:p>
    <w:p>
      <w:pPr>
        <w:pStyle w:val="13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（九）采购文件（后缀名为“.kedt”）、供应商操作手册及政府采购客户端工具可通过“苏采云”系统（网址：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http://jszfcg.jsczt.cn/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32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（十）相关说明：供应商在“苏采云”系统中提交首次响应文件的时间即为数据电文（响应文件，下同）的发送时间和接收时间。</w:t>
      </w:r>
      <w:r/>
    </w:p>
    <w:p>
      <w:pPr>
        <w:pStyle w:val="132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十三、响应文件编制要求</w:t>
      </w:r>
      <w:r/>
    </w:p>
    <w:p>
      <w:pPr>
        <w:pStyle w:val="1320"/>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请按照以下要求（包括但不限于以下要求）制作：</w:t>
      </w:r>
      <w:r/>
    </w:p>
    <w:p>
      <w:pPr>
        <w:pStyle w:val="132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（一）基本目录</w:t>
      </w:r>
      <w:r/>
    </w:p>
    <w:p>
      <w:pPr>
        <w:pStyle w:val="1320"/>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1、《磋商报价表》</w:t>
      </w:r>
      <w:r>
        <w:rPr>
          <w:rFonts w:hint="eastAsia" w:ascii="宋体" w:hAnsi="宋体" w:cs="宋体"/>
          <w:color w:val="000000" w:themeColor="text1"/>
          <w:sz w:val="24"/>
          <w:highlight w:val="none"/>
          <w14:textFill>
            <w14:solidFill>
              <w14:schemeClr w14:val="tx1"/>
            </w14:solidFill>
          </w14:textFill>
        </w:rPr>
        <w:t xml:space="preserve">（加盖电子签章，格式见《磋商文件》附件</w:t>
      </w:r>
      <w:r>
        <w:rPr>
          <w:rFonts w:hint="eastAsia" w:ascii="宋体" w:hAnsi="宋体" w:cs="宋体"/>
          <w:bCs/>
          <w:color w:val="000000" w:themeColor="text1"/>
          <w:sz w:val="24"/>
          <w:highlight w:val="none"/>
          <w14:textFill>
            <w14:solidFill>
              <w14:schemeClr w14:val="tx1"/>
            </w14:solidFill>
          </w14:textFill>
        </w:rPr>
        <w:t xml:space="preserve">）；</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2、授权委托书（提供原件的扫描件，格式见《磋商文件》附件）；</w:t>
      </w:r>
      <w:r/>
    </w:p>
    <w:p>
      <w:pPr>
        <w:pStyle w:val="1320"/>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3、授权委托书中受托人身份证扫描件；</w:t>
      </w:r>
      <w:r/>
    </w:p>
    <w:p>
      <w:pPr>
        <w:ind w:firstLine="48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4、所报产品的环境标志产品认证证书原件的扫描件（如有）；</w:t>
      </w:r>
      <w:r/>
    </w:p>
    <w:p>
      <w:pPr>
        <w:ind w:firstLine="48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w:t>
      </w:r>
      <w:r/>
    </w:p>
    <w:p>
      <w:pPr>
        <w:ind w:firstLine="48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（1）所报产品属于《环境标志产品政府采购品目清单》（由财政部 生态环境部印发）范围的，响应文件中提供（如有）所报产品的国家确定的认证机构出具的、处于有效期之内（即“首次响应文件开启时间”当天在有效期之内）的环境标志产品认证证书原件的扫描件。</w:t>
      </w:r>
      <w:r/>
    </w:p>
    <w:p>
      <w:pPr>
        <w:ind w:firstLine="48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（2）环境标志产品认证证书是否符合要求，采购人评审时查询中国政府采购网（www.ccgp.gov.cn）相关内容后确定。</w:t>
      </w:r>
      <w:r/>
    </w:p>
    <w:p>
      <w:pPr>
        <w:ind w:firstLine="48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5、所报产品的节能产品认证证书原件的扫描件（如有）；</w:t>
      </w:r>
      <w:r/>
    </w:p>
    <w:p>
      <w:pPr>
        <w:ind w:firstLine="48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w:t>
      </w:r>
      <w:r/>
    </w:p>
    <w:p>
      <w:pPr>
        <w:ind w:firstLine="48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发展改革委印发）范围的，响应文件中提供（如有）所报产品的国家确定的认证机构出具的、处于有效期之内（即“首次响应文件开启时间”当天在有效期之内）的节能产品认证证书原件的扫描件。</w:t>
      </w:r>
      <w:r/>
    </w:p>
    <w:p>
      <w:pPr>
        <w:ind w:firstLine="48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（2）节能产品认证证书是否符合要求，采购人评审时查询中国政府采购网（www.ccgp.gov.cn）相关内容后确定。</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6、供应商认为需要提供的其他资料（如有）。</w:t>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（二）资格条件（1～6项必须提供，否则响应无效）</w:t>
      </w:r>
      <w:r/>
    </w:p>
    <w:p>
      <w:pPr>
        <w:pStyle w:val="1324"/>
        <w:ind w:left="0" w:firstLine="482"/>
        <w:spacing w:after="0" w:line="360" w:lineRule="auto"/>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lang w:val="en-US" w:eastAsia="zh-CN"/>
          <w14:textFill>
            <w14:solidFill>
              <w14:schemeClr w14:val="tx1"/>
            </w14:solidFill>
          </w14:textFill>
        </w:rPr>
        <w:t xml:space="preserve">磋商</w:t>
      </w:r>
      <w:r>
        <w:rPr>
          <w:rFonts w:hint="eastAsia" w:ascii="宋体" w:hAnsi="宋体" w:cs="宋体"/>
          <w:b/>
          <w:bCs/>
          <w:color w:val="000000" w:themeColor="text1"/>
          <w:sz w:val="24"/>
          <w:highlight w:val="none"/>
          <w14:textFill>
            <w14:solidFill>
              <w14:schemeClr w14:val="tx1"/>
            </w14:solidFill>
          </w14:textFill>
        </w:rPr>
        <w:t xml:space="preserve">报价供应商的资格证明文件：投标人合法有效的法人或者其他组织的营业执照等证明文件</w:t>
      </w:r>
      <w:r>
        <w:rPr>
          <w:rFonts w:hint="eastAsia" w:ascii="宋体" w:hAnsi="宋体" w:cs="宋体"/>
          <w:b/>
          <w:bCs/>
          <w:color w:val="000000" w:themeColor="text1"/>
          <w:sz w:val="24"/>
          <w:highlight w:val="none"/>
          <w:lang w:eastAsia="zh-CN"/>
          <w14:textFill>
            <w14:solidFill>
              <w14:schemeClr w14:val="tx1"/>
            </w14:solidFill>
          </w14:textFill>
        </w:rPr>
        <w:t xml:space="preserve">；</w:t>
      </w:r>
      <w:r/>
    </w:p>
    <w:p>
      <w:pPr>
        <w:pStyle w:val="1324"/>
        <w:ind w:left="0" w:firstLine="482"/>
        <w:spacing w:after="0"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w:t>
      </w:r>
      <w:bookmarkStart w:id="0" w:name="OLE_LINK4"/>
      <w:r>
        <w:rPr>
          <w:rFonts w:hint="eastAsia" w:ascii="宋体" w:hAnsi="宋体" w:cs="宋体"/>
          <w:b/>
          <w:bCs/>
          <w:color w:val="000000" w:themeColor="text1"/>
          <w:sz w:val="24"/>
          <w:highlight w:val="none"/>
          <w14:textFill>
            <w14:solidFill>
              <w14:schemeClr w14:val="tx1"/>
            </w14:solidFill>
          </w14:textFill>
        </w:rPr>
        <w:t xml:space="preserve">具备履行合同所必需的设备和专业技术能力的证明材料，即响应文件中提供《具备履行合同所必需的设备和专业技术能力的书面声明》（附证明材料，加盖电子签章，格式见《磋商文件》附件）；</w:t>
      </w:r>
      <w:r/>
    </w:p>
    <w:p>
      <w:pPr>
        <w:ind w:right="-334" w:firstLine="48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① 供应商资质类别和等级：供应商具备有效的</w:t>
      </w:r>
      <w:r>
        <w:rPr>
          <w:rFonts w:hint="eastAsia" w:ascii="宋体" w:hAnsi="宋体" w:cs="宋体"/>
          <w:bCs/>
          <w:color w:val="000000" w:themeColor="text1"/>
          <w:sz w:val="24"/>
          <w:highlight w:val="none"/>
          <w:lang w:val="en-US" w:eastAsia="zh-CN"/>
          <w14:textFill>
            <w14:solidFill>
              <w14:schemeClr w14:val="tx1"/>
            </w14:solidFill>
          </w14:textFill>
        </w:rPr>
        <w:t xml:space="preserve">建筑工程施工总</w:t>
      </w:r>
      <w:r>
        <w:rPr>
          <w:rFonts w:hint="eastAsia" w:ascii="宋体" w:hAnsi="宋体" w:cs="宋体"/>
          <w:bCs/>
          <w:color w:val="000000" w:themeColor="text1"/>
          <w:sz w:val="24"/>
          <w:highlight w:val="none"/>
          <w14:textFill>
            <w14:solidFill>
              <w14:schemeClr w14:val="tx1"/>
            </w14:solidFill>
          </w14:textFill>
        </w:rPr>
        <w:t xml:space="preserve">承包</w:t>
      </w:r>
      <w:r>
        <w:rPr>
          <w:rFonts w:hint="eastAsia" w:ascii="宋体" w:hAnsi="宋体" w:cs="宋体"/>
          <w:bCs/>
          <w:color w:val="000000" w:themeColor="text1"/>
          <w:sz w:val="24"/>
          <w:highlight w:val="none"/>
          <w:lang w:val="en-US" w:eastAsia="zh-CN"/>
          <w14:textFill>
            <w14:solidFill>
              <w14:schemeClr w14:val="tx1"/>
            </w14:solidFill>
          </w14:textFill>
        </w:rPr>
        <w:t xml:space="preserve">叁</w:t>
      </w:r>
      <w:r>
        <w:rPr>
          <w:rFonts w:hint="eastAsia" w:ascii="宋体" w:hAnsi="宋体" w:cs="宋体"/>
          <w:bCs/>
          <w:color w:val="000000" w:themeColor="text1"/>
          <w:sz w:val="24"/>
          <w:highlight w:val="none"/>
          <w14:textFill>
            <w14:solidFill>
              <w14:schemeClr w14:val="tx1"/>
            </w14:solidFill>
          </w14:textFill>
        </w:rPr>
        <w:t xml:space="preserve">级及以上资质，并具备合格有效的安全生产许可证；</w:t>
      </w:r>
      <w:r/>
    </w:p>
    <w:p>
      <w:pPr>
        <w:ind w:right="-334" w:firstLine="48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② 拟选派项目负责人应为本单位注册的</w:t>
      </w:r>
      <w:r>
        <w:rPr>
          <w:rFonts w:hint="eastAsia" w:ascii="宋体" w:hAnsi="宋体" w:cs="宋体"/>
          <w:bCs/>
          <w:color w:val="000000" w:themeColor="text1"/>
          <w:sz w:val="24"/>
          <w:highlight w:val="none"/>
          <w:lang w:val="en-US" w:eastAsia="zh-CN"/>
          <w14:textFill>
            <w14:solidFill>
              <w14:schemeClr w14:val="tx1"/>
            </w14:solidFill>
          </w14:textFill>
        </w:rPr>
        <w:t xml:space="preserve">建筑</w:t>
      </w:r>
      <w:r>
        <w:rPr>
          <w:rFonts w:hint="eastAsia" w:ascii="宋体" w:hAnsi="宋体" w:cs="宋体"/>
          <w:bCs/>
          <w:color w:val="000000" w:themeColor="text1"/>
          <w:sz w:val="24"/>
          <w:highlight w:val="none"/>
          <w14:textFill>
            <w14:solidFill>
              <w14:schemeClr w14:val="tx1"/>
            </w14:solidFill>
          </w14:textFill>
        </w:rPr>
        <w:t xml:space="preserve">工程专业二级建造师及安全生产考核合格证书（B证）；</w:t>
      </w:r>
      <w:r/>
    </w:p>
    <w:p>
      <w:pPr>
        <w:ind w:right="-334" w:firstLine="48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③ 必须设置独立的专职安全员，专职安全员具备有效的《安全生产考核合格证书》</w:t>
      </w:r>
      <w:r>
        <w:rPr>
          <w:rFonts w:hint="eastAsia" w:ascii="宋体" w:hAnsi="宋体" w:cs="宋体"/>
          <w:bCs/>
          <w:color w:val="000000" w:themeColor="text1"/>
          <w:sz w:val="24"/>
          <w:highlight w:val="none"/>
          <w:lang w:val="en-US" w:eastAsia="zh-CN"/>
          <w14:textFill>
            <w14:solidFill>
              <w14:schemeClr w14:val="tx1"/>
            </w14:solidFill>
          </w14:textFill>
        </w:rPr>
        <w:t xml:space="preserve">C证</w:t>
      </w:r>
      <w:r>
        <w:rPr>
          <w:rFonts w:hint="eastAsia" w:ascii="宋体" w:hAnsi="宋体" w:cs="宋体"/>
          <w:bCs/>
          <w:color w:val="000000" w:themeColor="text1"/>
          <w:sz w:val="24"/>
          <w:highlight w:val="none"/>
          <w14:textFill>
            <w14:solidFill>
              <w14:schemeClr w14:val="tx1"/>
            </w14:solidFill>
          </w14:textFill>
        </w:rPr>
        <w:t xml:space="preserve">；</w:t>
      </w:r>
      <w:bookmarkEnd w:id="0"/>
      <w:r/>
      <w:r/>
    </w:p>
    <w:p>
      <w:pPr>
        <w:ind w:right="-334"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3、财务状况报告，至少提供：</w:t>
      </w:r>
      <w:r/>
    </w:p>
    <w:p>
      <w:pPr>
        <w:numPr>
          <w:ilvl w:val="0"/>
          <w:numId w:val="0"/>
        </w:numPr>
        <w:ind w:right="-334" w:firstLine="480"/>
        <w:spacing w:line="360" w:lineRule="auto"/>
        <w:rPr>
          <w:rFonts w:hint="eastAsia" w:ascii="宋体" w:hAnsi="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财务状况报告，至少提供：供应商的“首次响应文件提交的截止时间”前6个月内任何1月（不含“首次响应文件提交的截止时间”当月）的资产负债表的扫描件1份；供应商的“首次响应文件提交的截止时间”前6个月内任何1月（不含“首次响应文件提交的截止时间”当月）的利润表月报表的扫描件1份</w:t>
      </w:r>
      <w:r>
        <w:rPr>
          <w:rFonts w:hint="eastAsia" w:ascii="宋体" w:hAnsi="宋体" w:cs="宋体"/>
          <w:bCs/>
          <w:color w:val="000000" w:themeColor="text1"/>
          <w:sz w:val="24"/>
          <w:highlight w:val="none"/>
          <w:lang w:eastAsia="zh-CN"/>
          <w14:textFill>
            <w14:solidFill>
              <w14:schemeClr w14:val="tx1"/>
            </w14:solidFill>
          </w14:textFill>
        </w:rPr>
        <w:t xml:space="preserve">；</w:t>
      </w:r>
      <w:r/>
    </w:p>
    <w:p>
      <w:pPr>
        <w:numPr>
          <w:ilvl w:val="0"/>
          <w:numId w:val="0"/>
        </w:numPr>
        <w:ind w:right="-334"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或提供</w:t>
      </w:r>
      <w:r>
        <w:rPr>
          <w:rFonts w:hint="eastAsia" w:ascii="宋体" w:hAnsi="宋体" w:cs="宋体"/>
          <w:bCs/>
          <w:color w:val="000000" w:themeColor="text1"/>
          <w:sz w:val="24"/>
          <w:highlight w:val="none"/>
          <w:lang w:val="en-US" w:eastAsia="zh-CN"/>
          <w14:textFill>
            <w14:solidFill>
              <w14:schemeClr w14:val="tx1"/>
            </w14:solidFill>
          </w14:textFill>
        </w:rPr>
        <w:t xml:space="preserve">2024年</w:t>
      </w:r>
      <w:r>
        <w:rPr>
          <w:rFonts w:hint="eastAsia" w:ascii="宋体" w:hAnsi="宋体" w:cs="宋体"/>
          <w:bCs/>
          <w:color w:val="000000" w:themeColor="text1"/>
          <w:sz w:val="24"/>
          <w:highlight w:val="none"/>
          <w14:textFill>
            <w14:solidFill>
              <w14:schemeClr w14:val="tx1"/>
            </w14:solidFill>
          </w14:textFill>
        </w:rPr>
        <w:t xml:space="preserve">度财务报告（应包括审计报告正文、资产负债表、现金流量表、利润表）（加盖电子签章）</w:t>
      </w:r>
      <w:r>
        <w:rPr>
          <w:rFonts w:hint="eastAsia" w:ascii="宋体" w:hAnsi="宋体" w:cs="宋体"/>
          <w:bCs/>
          <w:color w:val="000000" w:themeColor="text1"/>
          <w:sz w:val="24"/>
          <w:highlight w:val="none"/>
          <w:lang w:eastAsia="zh-CN"/>
          <w14:textFill>
            <w14:solidFill>
              <w14:schemeClr w14:val="tx1"/>
            </w14:solidFill>
          </w14:textFill>
        </w:rPr>
        <w:t xml:space="preserve">。</w:t>
      </w:r>
      <w:r/>
    </w:p>
    <w:p>
      <w:pPr>
        <w:numPr>
          <w:ilvl w:val="0"/>
          <w:numId w:val="3"/>
        </w:numPr>
        <w:ind w:right="-334" w:firstLine="48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的提交本项目开标时间前6个月内（含开标当月）任何1个月份的依法缴纳税收和社会保障资金的相关材料扫描件；依法免税或不需要缴纳社会保障资金的投标人应提供相应其依法免税或不需要缴纳社会保障资金的证明文件复印件。</w:t>
      </w:r>
      <w:r/>
    </w:p>
    <w:p>
      <w:pPr>
        <w:numPr>
          <w:ilvl w:val="0"/>
          <w:numId w:val="3"/>
        </w:numPr>
        <w:ind w:right="-334"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供应商参加政府采购活动前3年内在经营活动中没有重大违法记录的书面声明(格式见《磋商文件》附件)；</w:t>
      </w:r>
      <w:r/>
    </w:p>
    <w:p>
      <w:pPr>
        <w:ind w:right="-334"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6、本项目属于专门面向中小微企业采购的项目，供应商应为中小微企业（含中型、小型、微型企业，下同），响应文件中提供《中小企业声明函》（加盖电子签章，必须提供，填写完整，格式见《磋商文件》附件，如不填写完整或未按要求填写的，视为无效）。《中小企业声明函》查询渠道用微信搜索“中小企业规模类型自测小程序”。</w:t>
      </w:r>
      <w:r/>
    </w:p>
    <w:p>
      <w:pPr>
        <w:ind w:right="-33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注：中小微企业，应当同时符合以下条件：</w:t>
      </w:r>
      <w:r/>
    </w:p>
    <w:p>
      <w:pPr>
        <w:ind w:right="-334" w:firstLine="36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（三）符合条件（必须提供，否则响应无效）</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1、《承诺书》（加盖电子签章，格式见《磋商文件》附件）；</w:t>
      </w:r>
      <w:r/>
    </w:p>
    <w:p>
      <w:pPr>
        <w:pStyle w:val="1316"/>
        <w:ind w:firstLine="482"/>
        <w:rPr>
          <w:rFonts w:hint="eastAsia" w:eastAsia="宋体"/>
          <w:color w:val="000000" w:themeColor="text1"/>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磋商报价表</w:t>
      </w:r>
      <w:r>
        <w:rPr>
          <w:rFonts w:hint="eastAsia" w:ascii="宋体" w:hAnsi="宋体" w:cs="宋体"/>
          <w:b/>
          <w:bCs/>
          <w:color w:val="000000" w:themeColor="text1"/>
          <w:sz w:val="24"/>
          <w:highlight w:val="none"/>
          <w14:textFill>
            <w14:solidFill>
              <w14:schemeClr w14:val="tx1"/>
            </w14:solidFill>
          </w14:textFill>
        </w:rPr>
        <w:t xml:space="preserve">》（加盖电子签章，格式见《磋商文件》附件）；</w:t>
      </w:r>
      <w:r/>
    </w:p>
    <w:p>
      <w:pPr>
        <w:ind w:right="-334"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、分项价格表（具有标价的工程量清单与报价表）（加盖电子签章，格式见《磋商文件》附件）；</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cs="宋体"/>
          <w:b/>
          <w:bCs/>
          <w:color w:val="000000" w:themeColor="text1"/>
          <w:sz w:val="24"/>
          <w:highlight w:val="none"/>
          <w14:textFill>
            <w14:solidFill>
              <w14:schemeClr w14:val="tx1"/>
            </w14:solidFill>
          </w14:textFill>
        </w:rPr>
        <w:t xml:space="preserve">、授权委托书（后附授权委托书中受托人身份证原件的扫描件）（提供原件的扫描件，格式见《磋商文件》附件）；</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14:textFill>
            <w14:solidFill>
              <w14:schemeClr w14:val="tx1"/>
            </w14:solidFill>
          </w14:textFill>
        </w:rPr>
        <w:t xml:space="preserve">、偏离表（加盖电子签章，格式见《磋商文件》附件）；</w:t>
      </w:r>
      <w:r/>
    </w:p>
    <w:p>
      <w:pPr>
        <w:ind w:right="-334"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、主要材料（设备）一览表（加盖电子签章，格式见《磋商文件》附件）；</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（四）综合评审评分项</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一)技术部分：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1、施工组织设计（要求见《磋商文件》附件1、《评分细则》及附件：《项目要求（采购需求）》）；</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2、售后服务方案（要求见《磋商文件》附件1、《评分细则》及附件：《项目要求（采购需求）》）；</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3、评分细则中评分得分需提供的相关证明文件或供应商认为需要提供的其他资料。</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二）商务部分：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1、供应商业绩（要求见《磋商文件》附件1、《评分细则》）；</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2、评分细则中评分得分需提供的相关证明文件或供应商认为需要提供的其他资料。</w:t>
      </w:r>
      <w:r/>
    </w:p>
    <w:p>
      <w:pPr>
        <w:pStyle w:val="132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（五）价格折扣文件格式</w:t>
      </w:r>
      <w:r/>
    </w:p>
    <w:p>
      <w:pPr>
        <w:pStyle w:val="1320"/>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1、企业报价折扣证明：无。</w:t>
      </w:r>
      <w:r/>
    </w:p>
    <w:p>
      <w:pPr>
        <w:pStyle w:val="132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（六）提交的首次响应文件的密封、签署、盖章要求：</w:t>
      </w:r>
      <w:r/>
    </w:p>
    <w:p>
      <w:pPr>
        <w:pStyle w:val="1320"/>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1、密封（加密）要求：</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2、签署要求：</w:t>
      </w:r>
      <w:r>
        <w:rPr>
          <w:rFonts w:hint="eastAsia" w:ascii="宋体" w:hAnsi="宋体" w:cs="宋体"/>
          <w:color w:val="000000" w:themeColor="text1"/>
          <w:sz w:val="24"/>
          <w:highlight w:val="none"/>
          <w14:textFill>
            <w14:solidFill>
              <w14:schemeClr w14:val="tx1"/>
            </w14:solidFill>
          </w14:textFill>
        </w:rPr>
        <w:t xml:space="preserve">见《磋商文件》第九章附件中相关格式要求</w:t>
      </w:r>
      <w:r>
        <w:rPr>
          <w:rFonts w:hint="eastAsia" w:ascii="宋体" w:hAnsi="宋体" w:cs="宋体"/>
          <w:b/>
          <w:bCs/>
          <w:color w:val="000000" w:themeColor="text1"/>
          <w:sz w:val="24"/>
          <w:highlight w:val="none"/>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3、盖章要求：</w:t>
      </w:r>
      <w:r>
        <w:rPr>
          <w:rFonts w:hint="eastAsia" w:ascii="宋体" w:hAnsi="宋体" w:cs="宋体"/>
          <w:color w:val="000000" w:themeColor="text1"/>
          <w:sz w:val="24"/>
          <w:highlight w:val="none"/>
          <w14:textFill>
            <w14:solidFill>
              <w14:schemeClr w14:val="tx1"/>
            </w14:solidFill>
          </w14:textFill>
        </w:rPr>
        <w:t xml:space="preserve">见《磋商文件》第九章附件中相关格式要求。供应商须通过“苏采云”系统提供的政府采购客户端工具（使用“CA数字证书”）加盖电子签章。</w:t>
      </w:r>
      <w:r/>
    </w:p>
    <w:p>
      <w:pPr>
        <w:pStyle w:val="132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（七）通过“苏采云”系统提交政府采购客户端工具导出加密的响应文件（后缀名为zip）。响应文件不得超过150M！ </w:t>
      </w:r>
      <w:r/>
    </w:p>
    <w:p>
      <w:pPr>
        <w:pStyle w:val="132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w:t>
      </w:r>
      <w:r/>
    </w:p>
    <w:p>
      <w:pPr>
        <w:pStyle w:val="1320"/>
        <w:ind w:firstLine="497"/>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供应商应当按照《磋商文件》的要求编制响应文件，并对其提交的响应文件的真实性、合法性承担法律责任。</w:t>
      </w:r>
      <w:r/>
    </w:p>
    <w:p>
      <w:pPr>
        <w:pStyle w:val="1320"/>
        <w:ind w:firstLine="478"/>
        <w:jc w:val="center"/>
        <w:spacing w:line="360" w:lineRule="auto"/>
        <w:rPr>
          <w:rFonts w:ascii="宋体" w:hAnsi="宋体" w:cs="宋体"/>
          <w:b/>
          <w:bCs/>
          <w:color w:val="000000" w:themeColor="text1"/>
          <w:sz w:val="24"/>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000000" w:themeColor="text1"/>
          <w:sz w:val="24"/>
          <w:highlight w:val="none"/>
          <w14:textFill>
            <w14:solidFill>
              <w14:schemeClr w14:val="tx1"/>
            </w14:solidFill>
          </w14:textFill>
        </w:rPr>
      </w:r>
      <w:r/>
    </w:p>
    <w:p>
      <w:pPr>
        <w:pStyle w:val="1320"/>
        <w:ind w:firstLine="478"/>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第四章 磋商相关说明</w:t>
      </w:r>
      <w:r/>
    </w:p>
    <w:p>
      <w:pPr>
        <w:pStyle w:val="132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十四、磋商相关说明</w:t>
      </w:r>
      <w:r/>
    </w:p>
    <w:p>
      <w:pPr>
        <w:pStyle w:val="132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（一）磋商要求</w:t>
      </w:r>
      <w:r/>
    </w:p>
    <w:p>
      <w:pPr>
        <w:pStyle w:val="1320"/>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1320"/>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2、供应商可通过CA数字证书，在首次响应文件开启时间后，使用CA数字证书在规定时间内解密各自响应文件。</w:t>
      </w:r>
      <w:r/>
    </w:p>
    <w:p>
      <w:pPr>
        <w:pStyle w:val="1320"/>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320"/>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6、未在规定时间内进行</w:t>
      </w: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答疑澄清的，视同放弃澄清。</w:t>
      </w:r>
      <w:r/>
    </w:p>
    <w:p>
      <w:pPr>
        <w:pStyle w:val="1320"/>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7、未在规定时间内进行报价的，视为响应无效。</w:t>
      </w:r>
      <w:r/>
    </w:p>
    <w:p>
      <w:pPr>
        <w:pStyle w:val="1320"/>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1328"/>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9、评标委员会启动异常低价投标审查的情形和具体要求，包括:</w:t>
      </w:r>
      <w:r/>
    </w:p>
    <w:p>
      <w:pPr>
        <w:pStyle w:val="1328"/>
        <w:ind w:firstLine="240"/>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9.1.评审过程中出现下列情形之一的，评标委员会应当启动异常低价投标审查程序：</w:t>
      </w:r>
      <w:r/>
    </w:p>
    <w:p>
      <w:pPr>
        <w:pStyle w:val="1328"/>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（1）投标报价低于采购项目预算50%的，即投标报价&lt;采购项目预算×50%；</w:t>
      </w:r>
      <w:r/>
    </w:p>
    <w:p>
      <w:pPr>
        <w:pStyle w:val="1328"/>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（2）投标报价低于采购项目最高限价45%的，即投标报价&lt;采购项目最高限价×45%；</w:t>
      </w:r>
      <w:r/>
    </w:p>
    <w:p>
      <w:pPr>
        <w:pStyle w:val="1328"/>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（3）评标委员会认定的投标人报价过低、有可能影响产品质量或者不能诚信履约的其他情形。</w:t>
      </w:r>
      <w:r/>
    </w:p>
    <w:p>
      <w:pPr>
        <w:pStyle w:val="1328"/>
        <w:ind w:firstLine="240"/>
        <w:spacing w:line="360" w:lineRule="auto"/>
        <w:rPr>
          <w:rFonts w:hint="eastAsia" w:eastAsia="宋体"/>
          <w:lang w:val="en-US" w:eastAsia="zh-CN"/>
        </w:rPr>
      </w:pPr>
      <w:r>
        <w:rPr>
          <w:rFonts w:hint="eastAsia" w:ascii="宋体" w:hAnsi="宋体" w:cs="宋体"/>
          <w:bCs/>
          <w:color w:val="000000" w:themeColor="text1"/>
          <w:sz w:val="24"/>
          <w:highlight w:val="none"/>
          <w:lang w:val="en-US" w:eastAsia="zh-CN"/>
          <w14:textFill>
            <w14:solidFill>
              <w14:schemeClr w14:val="tx1"/>
            </w14:solidFill>
          </w14:textFill>
        </w:rPr>
        <w:t xml:space="preserve">9.2.启动异常</w:t>
      </w:r>
      <w:r>
        <w:rPr>
          <w:rFonts w:hint="eastAsia" w:ascii="宋体" w:hAnsi="宋体" w:cs="宋体"/>
          <w:bCs/>
          <w:color w:val="000000" w:themeColor="text1"/>
          <w:sz w:val="24"/>
          <w:highlight w:val="none"/>
          <w:lang w:val="en-US" w:eastAsia="zh-CN"/>
          <w14:textFill>
            <w14:solidFill>
              <w14:schemeClr w14:val="tx1"/>
            </w14:solidFill>
          </w14:textFill>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pStyle w:val="132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（二）评审程序</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相关内容和要求见：《中华人民共和国政府采购法》、《中华人民共和国政府采购法实施条例》及《政府采购竞争性磋商采购方式管理暂行办法》</w:t>
      </w:r>
      <w:r/>
    </w:p>
    <w:p>
      <w:pPr>
        <w:pStyle w:val="132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(三) 查询及使用供应商信用记录</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1、由采购人查询信用信息。</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2、查询渠道包括：</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（1）“信用中国”网（www.creditchina.gov.cn）；</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（2）中国政府采购网（www.ccgp.gov.cn）；</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（3）“信用江苏”网（http://credit.jiangsu.gov.cn/）；</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（4）“信用中国(江苏徐州)”网（http://www.xuzhoucredit.gov.cn）。</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3、截止时点（查询环节）：首次响应文件开启后资格审查结束前。</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4、信用信息查询记录和证据留存的具体方式：</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网页截屏打印，与其他采购文件一并保存。</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5、信用信息的使用规则：</w:t>
      </w:r>
      <w:r/>
    </w:p>
    <w:p>
      <w:pPr>
        <w:pStyle w:val="1320"/>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32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十五、评审方法和评审标准</w:t>
      </w:r>
      <w:r/>
    </w:p>
    <w:p>
      <w:pPr>
        <w:pStyle w:val="1320"/>
        <w:ind w:firstLine="478"/>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1、评审方法：综合评分法。</w:t>
      </w:r>
      <w:r/>
    </w:p>
    <w:p>
      <w:pPr>
        <w:pStyle w:val="1320"/>
        <w:ind w:left="2"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2、评审标准：详见《磋商文件》附件1、《评分细则》。</w:t>
      </w:r>
      <w:r/>
    </w:p>
    <w:p>
      <w:pPr>
        <w:pStyle w:val="1320"/>
        <w:ind w:right="29"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rPr>
          <w:rFonts w:hint="eastAsia" w:ascii="宋体" w:hAnsi="宋体" w:cs="宋体"/>
          <w:color w:val="000000" w:themeColor="text1"/>
          <w:sz w:val="24"/>
          <w:highlight w:val="none"/>
          <w:lang w:val="en-US" w:eastAsia="zh-CN"/>
          <w14:textFill>
            <w14:solidFill>
              <w14:schemeClr w14:val="tx1"/>
            </w14:solidFill>
          </w14:textFill>
        </w:rPr>
        <w:t xml:space="preserve"> </w:t>
      </w:r>
      <w:r/>
    </w:p>
    <w:p>
      <w:pPr>
        <w:pStyle w:val="1320"/>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多家供应商提供的核心产品品牌相同的作为一个供应商计算，以质量和服务均能满足采购文件实质性响应要求且报价最低的供应商作为该品牌的供应商。</w:t>
      </w:r>
      <w:r/>
    </w:p>
    <w:p>
      <w:pPr>
        <w:pStyle w:val="1320"/>
        <w:ind w:right="29"/>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十六、</w:t>
      </w:r>
      <w:r>
        <w:rPr>
          <w:rFonts w:hint="eastAsia" w:ascii="宋体" w:hAnsi="宋体" w:cs="宋体"/>
          <w:color w:val="000000" w:themeColor="text1"/>
          <w:sz w:val="24"/>
          <w:highlight w:val="none"/>
          <w14:textFill>
            <w14:solidFill>
              <w14:schemeClr w14:val="tx1"/>
            </w14:solidFill>
          </w14:textFill>
        </w:rPr>
        <w:t xml:space="preserve">磋商过程中可能实质性变动的内容：在磋商过程中，磋商小组可以根据《磋商文件》和磋商情况实质性变动采购需求中的技术、服务要求以及拟签订的合同文本。</w:t>
      </w:r>
      <w:r/>
    </w:p>
    <w:p>
      <w:pPr>
        <w:pStyle w:val="1320"/>
        <w:ind w:right="29"/>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320"/>
        <w:ind w:right="29"/>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十七、</w:t>
      </w:r>
      <w:r>
        <w:rPr>
          <w:rFonts w:hint="eastAsia" w:ascii="宋体" w:hAnsi="宋体" w:cs="宋体"/>
          <w:color w:val="000000" w:themeColor="text1"/>
          <w:sz w:val="24"/>
          <w:highlight w:val="none"/>
          <w14:textFill>
            <w14:solidFill>
              <w14:schemeClr w14:val="tx1"/>
            </w14:solidFill>
          </w14:textFill>
        </w:rPr>
        <w:t xml:space="preserve">采购人有权对供应商的响应文件的真实性进行核实，如供应商不能在采购人规定的时间内向采购人提供有效的证明文件，将被采购人视为放弃中标（成交）资格。</w:t>
      </w:r>
      <w:r/>
    </w:p>
    <w:p>
      <w:pPr>
        <w:pStyle w:val="1320"/>
        <w:ind w:left="2" w:right="29" w:firstLine="48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第五章 确定成交供应商及合同签订等</w:t>
      </w:r>
      <w:r/>
    </w:p>
    <w:p>
      <w:pPr>
        <w:pStyle w:val="1320"/>
        <w:ind w:right="29"/>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十八、</w:t>
      </w:r>
      <w:r>
        <w:rPr>
          <w:rFonts w:hint="eastAsia" w:ascii="宋体" w:hAnsi="宋体" w:cs="宋体"/>
          <w:color w:val="000000" w:themeColor="text1"/>
          <w:sz w:val="24"/>
          <w:highlight w:val="none"/>
          <w14:textFill>
            <w14:solidFill>
              <w14:schemeClr w14:val="tx1"/>
            </w14:solidFill>
          </w14:textFill>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32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十九、采购人与成交供应商应当在成交通知书发出之日起30日内，</w:t>
      </w:r>
      <w:r>
        <w:rPr>
          <w:rFonts w:hint="eastAsia" w:ascii="宋体" w:hAnsi="宋体" w:cs="宋体"/>
          <w:color w:val="000000" w:themeColor="text1"/>
          <w:sz w:val="24"/>
          <w:highlight w:val="none"/>
          <w14:textFill>
            <w14:solidFill>
              <w14:schemeClr w14:val="tx1"/>
            </w14:solidFill>
          </w14:textFill>
        </w:rPr>
        <w:t xml:space="preserve">按照《磋商文件》确定的合同文本以及采购标的、规格型号、采购金额、采购数量、技术和服务要求等事项签订政府采购合同。</w:t>
      </w:r>
      <w:r/>
    </w:p>
    <w:p>
      <w:pPr>
        <w:pStyle w:val="132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pStyle w:val="1320"/>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w:t>
      </w:r>
      <w:r>
        <w:rPr>
          <w:rFonts w:hint="eastAsia" w:ascii="宋体" w:hAnsi="宋体" w:cs="宋体"/>
          <w:color w:val="000000" w:themeColor="text1"/>
          <w:sz w:val="24"/>
          <w:highlight w:val="none"/>
          <w14:textFill>
            <w14:solidFill>
              <w14:schemeClr w14:val="tx1"/>
            </w14:solidFill>
          </w14:textFill>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320"/>
        <w:ind w:firstLine="480"/>
        <w:jc w:val="center"/>
        <w:spacing w:line="360" w:lineRule="auto"/>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320"/>
        <w:ind w:firstLine="480"/>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第六章 磋商文件的澄清或者修改</w:t>
      </w:r>
      <w:r/>
    </w:p>
    <w:p>
      <w:pPr>
        <w:pStyle w:val="1320"/>
        <w:jc w:val="left"/>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二十一、《磋商文件》的澄清或者修改</w:t>
      </w:r>
      <w:r/>
    </w:p>
    <w:p>
      <w:pPr>
        <w:ind w:firstLine="480"/>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第七章 询问和质疑</w:t>
      </w:r>
      <w:r/>
    </w:p>
    <w:p>
      <w:pPr>
        <w:jc w:val="left"/>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二十二、询问和质疑</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2、供应商针对同一采购程序环节的质疑应当在法定质疑期内一次性提出。</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3、质疑和投诉按《政府采购质疑和投诉办法》执行。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4、接收质疑函的方式：供应商直接送交或供应商通过EMS邮寄。</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刘工</w:t>
      </w:r>
      <w:r>
        <w:rPr>
          <w:rFonts w:hint="eastAsia" w:ascii="宋体" w:hAnsi="宋体" w:cs="宋体"/>
          <w:color w:val="000000" w:themeColor="text1"/>
          <w:sz w:val="24"/>
          <w:highlight w:val="none"/>
          <w14:textFill>
            <w14:solidFill>
              <w14:schemeClr w14:val="tx1"/>
            </w14:solidFill>
          </w14:textFill>
        </w:rPr>
        <w:t xml:space="preserve">      联系电话：</w:t>
      </w:r>
      <w:r>
        <w:rPr>
          <w:rFonts w:hint="eastAsia" w:ascii="宋体" w:hAnsi="宋体" w:cs="宋体"/>
          <w:color w:val="000000"/>
          <w:sz w:val="24"/>
          <w:highlight w:val="none"/>
          <w:lang w:val="en-US" w:eastAsia="zh-CN"/>
        </w:rPr>
        <w:t xml:space="preserve">18914848390</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w:t>
      </w:r>
      <w:r>
        <w:rPr>
          <w:rFonts w:hint="eastAsia" w:ascii="宋体" w:hAnsi="宋体" w:eastAsia="宋体" w:cs="宋体"/>
          <w:color w:val="000000"/>
          <w:sz w:val="24"/>
          <w:highlight w:val="none"/>
        </w:rPr>
        <w:t xml:space="preserve">南京经济技术开发区新港大道42号5号楼5层</w:t>
      </w:r>
      <w:r>
        <w:rPr>
          <w:rFonts w:hint="eastAsia" w:ascii="宋体" w:hAnsi="宋体" w:cs="宋体"/>
          <w:color w:val="000000" w:themeColor="text1"/>
          <w:sz w:val="24"/>
          <w:highlight w:val="none"/>
          <w:lang w:eastAsia="zh-CN"/>
          <w14:textFill>
            <w14:solidFill>
              <w14:schemeClr w14:val="tx1"/>
            </w14:solidFill>
          </w14:textFill>
        </w:rPr>
        <w:t xml:space="preserve"> </w:t>
      </w:r>
      <w:r/>
    </w:p>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第八章 联系方式</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沛县城市管理局</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eastAsia="宋体" w:cs="宋体"/>
          <w:i w:val="0"/>
          <w:iCs w:val="0"/>
          <w:caps w:val="0"/>
          <w:color w:val="333333"/>
          <w:spacing w:val="0"/>
          <w:sz w:val="28"/>
          <w:szCs w:val="28"/>
        </w:rPr>
        <w:t xml:space="preserve">沛县新城区汉邦路8号</w:t>
      </w:r>
      <w:r/>
    </w:p>
    <w:p>
      <w:pPr>
        <w:ind w:firstLine="48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联系方式：15262116689</w:t>
      </w:r>
      <w:r/>
    </w:p>
    <w:p>
      <w:pPr>
        <w:ind w:firstLine="48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2、采购代理机构信息</w:t>
      </w:r>
      <w:r/>
    </w:p>
    <w:p>
      <w:pPr>
        <w:ind w:left="0" w:right="0" w:firstLine="480"/>
        <w:spacing w:before="240" w:after="24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rPr>
          <w:rFonts w:hint="eastAsia" w:ascii="宋体" w:hAnsi="宋体" w:cs="宋体"/>
          <w:color w:val="000000"/>
          <w:sz w:val="24"/>
          <w:lang w:eastAsia="zh-CN"/>
        </w:rPr>
        <w:t xml:space="preserve">国华工程咨询管理有限公司</w:t>
      </w:r>
      <w:r/>
    </w:p>
    <w:p>
      <w:pPr>
        <w:ind w:left="0" w:right="0" w:firstLine="480"/>
        <w:spacing w:before="240" w:after="24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 址：</w:t>
      </w:r>
      <w:r>
        <w:rPr>
          <w:rFonts w:hint="eastAsia" w:ascii="宋体" w:hAnsi="宋体" w:eastAsia="宋体" w:cs="宋体"/>
          <w:color w:val="000000"/>
          <w:sz w:val="24"/>
          <w:highlight w:val="none"/>
        </w:rPr>
        <w:t xml:space="preserve">南京经济技术开发区新港大道42号5号楼5层</w:t>
      </w:r>
      <w:r/>
    </w:p>
    <w:p>
      <w:pPr>
        <w:ind w:left="0" w:right="0" w:firstLine="480"/>
        <w:spacing w:before="240" w:after="240" w:line="85" w:lineRule="atLeast"/>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w:t>
      </w:r>
      <w:r>
        <w:rPr>
          <w:rFonts w:hint="eastAsia" w:ascii="宋体" w:hAnsi="宋体" w:cs="宋体"/>
          <w:color w:val="000000"/>
          <w:sz w:val="24"/>
          <w:highlight w:val="none"/>
          <w:lang w:val="en-US" w:eastAsia="zh-CN"/>
        </w:rPr>
        <w:t xml:space="preserve">刘工</w:t>
      </w:r>
      <w:r/>
    </w:p>
    <w:p>
      <w:pPr>
        <w:ind w:left="0" w:right="0" w:firstLine="480"/>
        <w:spacing w:before="240" w:after="24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w:t>
      </w:r>
      <w:r>
        <w:rPr>
          <w:rFonts w:hint="eastAsia" w:ascii="宋体" w:hAnsi="宋体" w:cs="宋体"/>
          <w:color w:val="000000"/>
          <w:sz w:val="24"/>
          <w:highlight w:val="none"/>
          <w:lang w:val="en-US" w:eastAsia="zh-CN"/>
        </w:rPr>
        <w:t xml:space="preserve">18914848390</w:t>
      </w:r>
      <w:r/>
    </w:p>
    <w:p>
      <w:pPr>
        <w:ind w:firstLine="480"/>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r>
      <w:r/>
    </w:p>
    <w:p>
      <w:pPr>
        <w:jc w:val="center"/>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第九章 其他要求及附件</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二十三、成交供应商在领取成交通知书前，向采购代理机构缴纳代理服务费，收取标准见</w:t>
      </w:r>
      <w:r>
        <w:rPr>
          <w:rFonts w:hint="eastAsia" w:ascii="宋体" w:hAnsi="宋体" w:cs="宋体"/>
          <w:b/>
          <w:bCs/>
          <w:color w:val="000000" w:themeColor="text1"/>
          <w:sz w:val="24"/>
          <w:highlight w:val="none"/>
          <w:lang w:val="en-US" w:eastAsia="zh-CN"/>
          <w14:textFill>
            <w14:solidFill>
              <w14:schemeClr w14:val="tx1"/>
            </w14:solidFill>
          </w14:textFill>
        </w:rPr>
        <w:t xml:space="preserve">采购文件</w:t>
      </w:r>
      <w:r>
        <w:rPr>
          <w:rFonts w:hint="eastAsia" w:ascii="宋体" w:hAnsi="宋体" w:cs="宋体"/>
          <w:b/>
          <w:bCs/>
          <w:color w:val="000000" w:themeColor="text1"/>
          <w:sz w:val="24"/>
          <w:highlight w:val="none"/>
          <w14:textFill>
            <w14:solidFill>
              <w14:schemeClr w14:val="tx1"/>
            </w14:solidFill>
          </w14:textFill>
        </w:rPr>
        <w:t xml:space="preserve">。</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二十四、</w:t>
      </w:r>
      <w:bookmarkStart w:id="1" w:name="OLE_LINK1"/>
      <w:r>
        <w:rPr>
          <w:rFonts w:hint="eastAsia" w:ascii="宋体" w:hAnsi="宋体" w:cs="宋体"/>
          <w:b/>
          <w:bCs/>
          <w:color w:val="000000" w:themeColor="text1"/>
          <w:sz w:val="24"/>
          <w:highlight w:val="none"/>
          <w14:textFill>
            <w14:solidFill>
              <w14:schemeClr w14:val="tx1"/>
            </w14:solidFill>
          </w14:textFill>
        </w:rPr>
        <w:t xml:space="preserve">本项目属于专门面向中小微企业采购的项目，供应商应为中小微企业、监狱企业、残疾人福利性单位。</w:t>
      </w:r>
      <w:bookmarkEnd w:id="1"/>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二十五、采购人确定的采购项目属性：工程。</w:t>
      </w:r>
      <w:r/>
    </w:p>
    <w:p>
      <w:pPr>
        <w:spacing w:line="360" w:lineRule="auto"/>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二十六、成交供应商须在成交结果公告发出之日起7日内向采购代理机构提供本项目响应文件纸质版，正本1份，副本2份。</w:t>
      </w:r>
      <w:r>
        <w:rPr>
          <w:rFonts w:hint="eastAsia" w:ascii="宋体" w:hAnsi="宋体" w:cs="宋体"/>
          <w:b/>
          <w:bCs/>
          <w:color w:val="000000" w:themeColor="text1"/>
          <w:sz w:val="24"/>
          <w:highlight w:val="none"/>
          <w:lang w:eastAsia="zh-CN"/>
          <w14:textFill>
            <w14:solidFill>
              <w14:schemeClr w14:val="tx1"/>
            </w14:solidFill>
          </w14:textFill>
        </w:rPr>
        <w:t xml:space="preserve">（投标文件在中标后提供不加密并加盖公章的电子版文件(U盘），在领取中标通知书时中标人应按招标人的要求提供书面胶装文件递交至招标代理机构，如需另外增加投标文件，中标人免费提供。）</w:t>
      </w:r>
      <w:r/>
    </w:p>
    <w:p>
      <w:pPr>
        <w:spacing w:line="360" w:lineRule="auto"/>
        <w:rPr>
          <w:rFonts w:hint="eastAsia" w:ascii="宋体" w:hAnsi="宋体" w:cs="宋体"/>
          <w:b/>
          <w:bCs/>
          <w:color w:val="0000ff"/>
          <w:sz w:val="24"/>
          <w:highlight w:val="none"/>
          <w:lang w:val="en-US" w:eastAsia="zh-CN"/>
        </w:rPr>
      </w:pPr>
      <w:r>
        <w:rPr>
          <w:rFonts w:hint="eastAsia" w:ascii="宋体" w:hAnsi="宋体" w:cs="宋体"/>
          <w:b/>
          <w:bCs/>
          <w:color w:val="000000" w:themeColor="text1"/>
          <w:sz w:val="24"/>
          <w:highlight w:val="none"/>
          <w14:textFill>
            <w14:solidFill>
              <w14:schemeClr w14:val="tx1"/>
            </w14:solidFill>
          </w14:textFill>
        </w:rPr>
        <w:t xml:space="preserve">二十七、履约保证金：</w:t>
      </w:r>
      <w:r>
        <w:rPr>
          <w:rFonts w:hint="eastAsia" w:ascii="宋体" w:hAnsi="宋体" w:cs="宋体"/>
          <w:b/>
          <w:bCs/>
          <w:color w:val="auto"/>
          <w:sz w:val="24"/>
          <w:highlight w:val="none"/>
          <w:lang w:val="en-US" w:eastAsia="zh-CN"/>
        </w:rPr>
        <w:t xml:space="preserve">中标金额的10%。</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二十八、附件：附后。</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1、《评分细则》</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2、《项目要求（采购需求）》</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3、《磋商报价表》</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分项价格表</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5、《主要材料（设备）一览表》</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6、《偏离表》</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7、《拟签订的合同文本》</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8、《承诺书》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9、《授权委托书》</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10、《具备履行合同所必需的设备和专业技术能力的书面声明》（附证明材料）</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11、《中小企业声明函》</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12、《供应商参加政府采购活动前3年内在经营活动中没有重大违法记录的书面声明》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13、《残疾人福利性单位声明函》</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14、《代理服务收费标准》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15、《预付款保函支付条款模板》</w:t>
      </w:r>
      <w:r/>
    </w:p>
    <w:p>
      <w:pPr>
        <w:ind w:firstLine="612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61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月</w:t>
      </w:r>
      <w:r/>
    </w:p>
    <w:p>
      <w:pPr>
        <w:numPr>
          <w:ilvl w:val="0"/>
          <w:numId w:val="4"/>
        </w:numPr>
        <w:jc w:val="center"/>
        <w:spacing w:line="0" w:lineRule="atLeast"/>
        <w:rPr>
          <w:rFonts w:ascii="宋体" w:hAnsi="宋体" w:cs="宋体"/>
          <w:b/>
          <w:color w:val="000000" w:themeColor="text1"/>
          <w:sz w:val="36"/>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000000" w:themeColor="text1"/>
          <w:sz w:val="36"/>
          <w:highlight w:val="none"/>
          <w14:textFill>
            <w14:solidFill>
              <w14:schemeClr w14:val="tx1"/>
            </w14:solidFill>
          </w14:textFill>
        </w:rPr>
      </w:r>
      <w:r/>
    </w:p>
    <w:p>
      <w:pPr>
        <w:numPr>
          <w:ilvl w:val="0"/>
          <w:numId w:val="4"/>
        </w:numPr>
        <w:jc w:val="center"/>
        <w:spacing w:line="36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评分细则</w:t>
      </w:r>
      <w:r/>
    </w:p>
    <w:tbl>
      <w:tblPr>
        <w:tblStyle w:val="1132"/>
        <w:tblpPr w:horzAnchor="page" w:tblpX="1755" w:vertAnchor="text" w:tblpY="692" w:leftFromText="180" w:topFromText="0" w:rightFromText="180" w:bottomFromText="0"/>
        <w:tblW w:w="505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7153"/>
      </w:tblGrid>
      <w:tr>
        <w:trPr>
          <w:trHeight w:val="397"/>
        </w:trPr>
        <w:tc>
          <w:tcPr>
            <w:tcW w:w="855" w:type="pct"/>
            <w:vAlign w:val="center"/>
            <w:textDirection w:val="lrTb"/>
            <w:noWrap w:val="false"/>
          </w:tcPr>
          <w:p>
            <w:pPr>
              <w:ind w:firstLine="0"/>
              <w:jc w:val="center"/>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项  目</w:t>
            </w:r>
            <w:r/>
          </w:p>
        </w:tc>
        <w:tc>
          <w:tcPr>
            <w:tcW w:w="4144" w:type="pct"/>
            <w:vAlign w:val="center"/>
            <w:textDirection w:val="lrTb"/>
            <w:noWrap w:val="false"/>
          </w:tcPr>
          <w:p>
            <w:pPr>
              <w:ind w:firstLine="482"/>
              <w:jc w:val="center"/>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 分 依 据</w:t>
            </w:r>
            <w:r/>
          </w:p>
        </w:tc>
      </w:tr>
      <w:tr>
        <w:trPr>
          <w:trHeight w:val="1341"/>
        </w:trPr>
        <w:tc>
          <w:tcPr>
            <w:tcW w:w="855" w:type="pct"/>
            <w:vAlign w:val="center"/>
            <w:textDirection w:val="lrTb"/>
            <w:noWrap w:val="false"/>
          </w:tcPr>
          <w:p>
            <w:pPr>
              <w:ind w:firstLine="0"/>
              <w:jc w:val="center"/>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w:t>
            </w:r>
            <w:r/>
          </w:p>
          <w:p>
            <w:pPr>
              <w:ind w:firstLine="0"/>
              <w:jc w:val="center"/>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(30分)</w:t>
            </w:r>
            <w:r/>
          </w:p>
        </w:tc>
        <w:tc>
          <w:tcPr>
            <w:tcW w:w="4144" w:type="pct"/>
            <w:vAlign w:val="center"/>
            <w:textDirection w:val="lrTb"/>
            <w:noWrap w:val="false"/>
          </w:tcPr>
          <w:p>
            <w:pPr>
              <w:jc w:val="both"/>
              <w:widowControl w:val="off"/>
              <w:rPr>
                <w:rFonts w:ascii="宋体" w:hAnsi="宋体" w:eastAsia="宋体" w:cs="宋体"/>
                <w:color w:val="auto"/>
                <w:sz w:val="24"/>
                <w:szCs w:val="24"/>
                <w:highlight w:val="none"/>
                <w:lang w:val="en-US" w:eastAsia="zh-CN" w:bidi="ar-SA"/>
              </w:rPr>
            </w:pPr>
            <w:r/>
            <w:bookmarkStart w:id="2" w:name="OLE_LINK5"/>
            <w:r>
              <w:rPr>
                <w:rFonts w:hint="eastAsia" w:ascii="宋体" w:hAnsi="宋体" w:eastAsia="宋体" w:cs="宋体"/>
                <w:color w:val="auto"/>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磋商报价得分=（磋商基准价/最后磋商报价）×30</w:t>
            </w:r>
            <w:bookmarkEnd w:id="2"/>
            <w:r/>
            <w:r/>
          </w:p>
        </w:tc>
      </w:tr>
      <w:tr>
        <w:trPr>
          <w:cantSplit/>
          <w:trHeight w:val="1367"/>
        </w:trPr>
        <w:tc>
          <w:tcPr>
            <w:tcW w:w="855" w:type="pct"/>
            <w:vAlign w:val="center"/>
            <w:textDirection w:val="lrTb"/>
            <w:noWrap w:val="false"/>
          </w:tcPr>
          <w:p>
            <w:pPr>
              <w:jc w:val="center"/>
              <w:widowControl w:val="off"/>
              <w:tabs>
                <w:tab w:val="left" w:pos="600"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业绩（4分）</w:t>
            </w:r>
            <w:r/>
          </w:p>
        </w:tc>
        <w:tc>
          <w:tcPr>
            <w:shd w:val="clear" w:color="auto" w:fill="auto"/>
            <w:tcW w:w="4144" w:type="pct"/>
            <w:vAlign w:val="center"/>
            <w:textDirection w:val="lrTb"/>
            <w:noWrap w:val="false"/>
          </w:tcPr>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供应商自202</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月1日（含，时间以竣工验收证明为准）以来承担过相同或类似工程的，响应文件中须同时提供合同扫描件、竣工验收证明材料、作为业绩证明材料，每份得2分，本项最高得4分。</w:t>
            </w:r>
            <w:r/>
          </w:p>
          <w:p>
            <w:pPr>
              <w:jc w:val="both"/>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响应文件中提供上述证明材料扫描件并加盖供应商电子签章方为有效，未提供或提供不全视为不满足。</w:t>
            </w:r>
            <w:r/>
          </w:p>
        </w:tc>
      </w:tr>
      <w:tr>
        <w:trPr>
          <w:cantSplit/>
          <w:trHeight w:val="2551"/>
        </w:trPr>
        <w:tc>
          <w:tcPr>
            <w:tcW w:w="855" w:type="pct"/>
            <w:vAlign w:val="center"/>
            <w:vMerge w:val="restart"/>
            <w:textDirection w:val="lrTb"/>
            <w:noWrap w:val="false"/>
          </w:tcPr>
          <w:p>
            <w:pPr>
              <w:ind w:firstLine="0"/>
              <w:jc w:val="center"/>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施工组织设计（56分）</w:t>
            </w:r>
            <w:r/>
          </w:p>
        </w:tc>
        <w:tc>
          <w:tcPr>
            <w:tcW w:w="4144" w:type="pct"/>
            <w:vAlign w:val="center"/>
            <w:textDirection w:val="lrTb"/>
            <w:noWrap w:val="false"/>
          </w:tcPr>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1、依据响应文件中的总体施工方案，对工程总体及重点部分施工方案及工艺方法进行综合评分。</w:t>
            </w:r>
            <w:r/>
          </w:p>
          <w:p>
            <w:pPr>
              <w:jc w:val="both"/>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合理性(3分)：合理得3分；较合理得2分；不太合理的得1分。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针对性（4分)：针对性强得4分；针对性较强得3分；针对性一般的得2分，欠缺针对性的得1分。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未提供的不得分。本项最高得10分，最低不得分。</w:t>
            </w:r>
            <w:r/>
          </w:p>
        </w:tc>
      </w:tr>
      <w:tr>
        <w:trPr>
          <w:cantSplit/>
          <w:trHeight w:val="593"/>
        </w:trPr>
        <w:tc>
          <w:tcPr>
            <w:tcW w:w="855" w:type="pct"/>
            <w:vAlign w:val="center"/>
            <w:vMerge w:val="continue"/>
            <w:textDirection w:val="lrTb"/>
            <w:noWrap w:val="false"/>
          </w:tcPr>
          <w:p>
            <w:pPr>
              <w:ind w:firstLine="0"/>
              <w:jc w:val="center"/>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4144" w:type="pct"/>
            <w:vAlign w:val="center"/>
            <w:textDirection w:val="lrTb"/>
            <w:noWrap w:val="false"/>
          </w:tcPr>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2、依据响应文件中的工期安排、施工进度计划和各阶段进度的保证措施进行综合评分。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合理性(3分)：合理得3分；较合理得2分；不太合理的得1分。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针对性（4分)：针对性强得4分；针对性较强得3分；针对性一般的得2分，欠缺针对性的得1分。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未提供的不得分。本项最高得10分，最低不得分。</w:t>
            </w:r>
            <w:r/>
          </w:p>
        </w:tc>
      </w:tr>
      <w:tr>
        <w:trPr>
          <w:cantSplit/>
          <w:trHeight w:val="445"/>
        </w:trPr>
        <w:tc>
          <w:tcPr>
            <w:tcW w:w="855" w:type="pct"/>
            <w:vAlign w:val="center"/>
            <w:vMerge w:val="continue"/>
            <w:textDirection w:val="lrTb"/>
            <w:noWrap w:val="false"/>
          </w:tcPr>
          <w:p>
            <w:pPr>
              <w:ind w:firstLine="0"/>
              <w:jc w:val="center"/>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4144" w:type="pct"/>
            <w:vAlign w:val="center"/>
            <w:textDirection w:val="lrTb"/>
            <w:noWrap w:val="false"/>
          </w:tcPr>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3、依据响应文件中的安全文明施工及环境保护措施进行综合评分。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合理性(4分)：合理得4分；较合理得2分；不太合理的得1分。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针对性（3分)：针对性强得3分；针对性较强得2分；针对性一般的得1分，欠缺针对性的得0.5分。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未提供的不得分。本项最高得10分，最低不得分。</w:t>
            </w:r>
            <w:r/>
          </w:p>
        </w:tc>
      </w:tr>
      <w:tr>
        <w:trPr>
          <w:cantSplit/>
          <w:trHeight w:val="639"/>
        </w:trPr>
        <w:tc>
          <w:tcPr>
            <w:tcW w:w="855" w:type="pct"/>
            <w:vAlign w:val="center"/>
            <w:vMerge w:val="continue"/>
            <w:textDirection w:val="lrTb"/>
            <w:noWrap w:val="false"/>
          </w:tcPr>
          <w:p>
            <w:pPr>
              <w:ind w:firstLine="0"/>
              <w:jc w:val="center"/>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4144" w:type="pct"/>
            <w:vAlign w:val="center"/>
            <w:textDirection w:val="lrTb"/>
            <w:noWrap w:val="false"/>
          </w:tcPr>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4、依据响应文件中的质量保证措施进行综合评分。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合理性(2分)：合理得2分；较合理得1分；不太合理的得0.5分。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针对性（3分)：针对性强得3分；针对性较强得2分；针对性一般的得1分，欠缺针对性的得0.5分。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可行性（2分)：符合实际切实可行得2分；较切实可行得1分；可行性欠缺得0.5分；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未提供的不得分。最高得7分，最低不得分。</w:t>
            </w:r>
            <w:r/>
          </w:p>
        </w:tc>
      </w:tr>
      <w:tr>
        <w:trPr>
          <w:cantSplit/>
          <w:trHeight w:val="639"/>
        </w:trPr>
        <w:tc>
          <w:tcPr>
            <w:tcW w:w="855" w:type="pct"/>
            <w:vAlign w:val="center"/>
            <w:vMerge w:val="continue"/>
            <w:textDirection w:val="lrTb"/>
            <w:noWrap w:val="false"/>
          </w:tcPr>
          <w:p>
            <w:pPr>
              <w:ind w:firstLine="0"/>
              <w:jc w:val="center"/>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4144" w:type="pct"/>
            <w:vAlign w:val="center"/>
            <w:textDirection w:val="lrTb"/>
            <w:noWrap w:val="false"/>
          </w:tcPr>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5、依据响应文件中的项目管理班子的人员配备、素质及管理经验、机械设备、材料投入保证措施等进行综合评分。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合理性(3分)：合理得3分；较合理得2分；不太合理的得0.5分。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针对性（3分)：针对性强得3分；针对性较强得2分；针对性一般的得1分，欠缺针对性的得0.5分。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未提供的不得分。最高得9分，最低不得分。</w:t>
            </w:r>
            <w:r/>
          </w:p>
        </w:tc>
      </w:tr>
      <w:tr>
        <w:trPr>
          <w:cantSplit/>
          <w:trHeight w:val="2907"/>
        </w:trPr>
        <w:tc>
          <w:tcPr>
            <w:tcW w:w="855" w:type="pct"/>
            <w:vAlign w:val="center"/>
            <w:vMerge w:val="continue"/>
            <w:textDirection w:val="lrTb"/>
            <w:noWrap w:val="false"/>
          </w:tcPr>
          <w:p>
            <w:pPr>
              <w:ind w:firstLine="0"/>
              <w:jc w:val="center"/>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4144" w:type="pct"/>
            <w:vAlign w:val="center"/>
            <w:textDirection w:val="lrTb"/>
            <w:noWrap w:val="false"/>
          </w:tcPr>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6、依据响应文件中的关键施工技术、工艺及工程项目实施的重点、难点和解决方案进行综合评分。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合理性(3分)：合理得3分；较合理得2分；不太合理的得1分。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针对性（4分)：针对性强得4分；针对性较强得3分；针对性一般的得2分，欠缺针对性的得1分。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未提供的不得分。最高得10分，最低不得分。</w:t>
            </w:r>
            <w:r/>
          </w:p>
        </w:tc>
      </w:tr>
      <w:tr>
        <w:trPr>
          <w:cantSplit/>
          <w:trHeight w:val="3697"/>
        </w:trPr>
        <w:tc>
          <w:tcPr>
            <w:shd w:val="clear" w:color="auto" w:fill="auto"/>
            <w:tcW w:w="855" w:type="pct"/>
            <w:vAlign w:val="center"/>
            <w:textDirection w:val="lrTb"/>
            <w:noWrap w:val="false"/>
          </w:tcPr>
          <w:p>
            <w:pPr>
              <w:ind w:firstLine="0"/>
              <w:jc w:val="center"/>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售后服务（1</w:t>
            </w:r>
            <w:r>
              <w:rPr>
                <w:rFonts w:hint="default" w:ascii="宋体" w:hAnsi="宋体" w:eastAsia="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4144" w:type="pct"/>
            <w:vAlign w:val="center"/>
            <w:textDirection w:val="lrTb"/>
            <w:noWrap w:val="false"/>
          </w:tcPr>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1、依据响应文件中的售后服务方案，包含缺陷责任期内和缺陷责任期满后的服务方案进行综合评分。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全面性(4分)：全面具体详实得4分；较全面得3分；仅具备基本内容的得2分；不太全面得1分。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针对性（4分)：针对性强得4分；针对性较强得3分；针对性一般的得2分，欠缺针对性的得1分。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可行性（2分)：符合实际切实可行得2分；较切实可行得1分；可行性欠缺得0.5分；</w:t>
            </w:r>
            <w:r/>
          </w:p>
          <w:p>
            <w:pPr>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未提供的不得分。最高得10分，最低得0分。</w:t>
            </w:r>
            <w:r/>
          </w:p>
        </w:tc>
      </w:tr>
    </w:tbl>
    <w:p>
      <w:pPr>
        <w:spacing w:line="52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说明：本项目采用综合评分法。</w:t>
      </w:r>
      <w:r/>
    </w:p>
    <w:p>
      <w:pPr>
        <w:ind w:left="0" w:right="0" w:firstLine="422"/>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本项目为专门面向中小微的项目，小微、小型企业不再享受价格给</w:t>
      </w:r>
      <w:r>
        <w:rPr>
          <w:rFonts w:ascii="宋体" w:hAnsi="宋体" w:eastAsia="宋体" w:cs="宋体"/>
          <w:b/>
          <w:color w:val="000000"/>
          <w:sz w:val="22"/>
        </w:rPr>
        <w:t xml:space="preserve">折扣</w:t>
      </w:r>
      <w:r>
        <w:rPr>
          <w:rFonts w:ascii="宋体" w:hAnsi="宋体" w:eastAsia="宋体" w:cs="宋体"/>
          <w:b/>
          <w:color w:val="000000"/>
          <w:sz w:val="24"/>
        </w:rPr>
        <w:t xml:space="preserve">的优惠政策。</w:t>
      </w:r>
      <w:r/>
    </w:p>
    <w:p>
      <w:pPr>
        <w:spacing w:line="520" w:lineRule="exact"/>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jc w:val="center"/>
        <w:rPr>
          <w:rFonts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r>
      <w:r/>
    </w:p>
    <w:p>
      <w:pPr>
        <w:jc w:val="center"/>
        <w:rPr>
          <w:rFonts w:ascii="宋体" w:hAnsi="宋体" w:cs="宋体"/>
          <w:b/>
          <w:bCs/>
          <w:color w:val="000000" w:themeColor="text1"/>
          <w:sz w:val="32"/>
          <w:szCs w:val="32"/>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000000" w:themeColor="text1"/>
          <w:sz w:val="32"/>
          <w:szCs w:val="32"/>
          <w:highlight w:val="none"/>
          <w14:textFill>
            <w14:solidFill>
              <w14:schemeClr w14:val="tx1"/>
            </w14:solidFill>
          </w14:textFill>
        </w:rPr>
      </w:r>
      <w:r/>
    </w:p>
    <w:p>
      <w:pPr>
        <w:jc w:val="cente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2、项目要求（采购需求）</w:t>
      </w:r>
      <w:r/>
    </w:p>
    <w:p>
      <w:pPr>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rPr>
        <w:t xml:space="preserve">一</w:t>
      </w:r>
      <w:r>
        <w:rPr>
          <w:rFonts w:hint="eastAsia" w:ascii="宋体" w:hAnsi="宋体" w:eastAsia="宋体" w:cs="宋体"/>
          <w:b/>
          <w:color w:val="auto"/>
          <w:sz w:val="24"/>
          <w:highlight w:val="none"/>
        </w:rPr>
        <w:t xml:space="preserve">、本项目预算金额</w:t>
      </w:r>
      <w:r>
        <w:rPr>
          <w:rFonts w:hint="eastAsia" w:ascii="宋体" w:hAnsi="宋体" w:eastAsia="宋体" w:cs="宋体"/>
          <w:b/>
          <w:color w:val="auto"/>
          <w:sz w:val="24"/>
          <w:highlight w:val="none"/>
          <w:lang w:val="en-US" w:eastAsia="zh-CN"/>
        </w:rPr>
      </w:r>
      <w:r>
        <w:rPr>
          <w:rFonts w:hint="eastAsia" w:ascii="宋体" w:hAnsi="宋体" w:eastAsia="宋体" w:cs="宋体"/>
          <w:b/>
          <w:color w:val="auto"/>
          <w:sz w:val="24"/>
          <w:highlight w:val="none"/>
          <w:lang w:val="en-US" w:eastAsia="zh-CN"/>
        </w:rPr>
      </w:r>
      <w:r>
        <w:rPr>
          <w:rFonts w:hint="eastAsia" w:ascii="宋体" w:hAnsi="宋体" w:eastAsia="宋体" w:cs="宋体"/>
          <w:b/>
          <w:color w:val="auto"/>
          <w:sz w:val="24"/>
          <w:highlight w:val="none"/>
          <w:lang w:val="en-US" w:eastAsia="zh-CN"/>
        </w:rPr>
        <w:t xml:space="preserve">1702864.4元人民币</w:t>
      </w:r>
      <w:r>
        <w:rPr>
          <w:rFonts w:hint="eastAsia" w:ascii="宋体" w:hAnsi="宋体" w:eastAsia="宋体" w:cs="宋体"/>
          <w:b/>
          <w:color w:val="auto"/>
          <w:sz w:val="24"/>
          <w:highlight w:val="none"/>
          <w:lang w:val="en-US" w:eastAsia="zh-CN"/>
        </w:rPr>
      </w:r>
      <w:r/>
      <w:r>
        <w:rPr>
          <w:rFonts w:hint="eastAsia" w:ascii="宋体" w:hAnsi="宋体" w:eastAsia="宋体" w:cs="宋体"/>
          <w:b/>
          <w:color w:val="auto"/>
          <w:sz w:val="24"/>
          <w:highlight w:val="none"/>
          <w:lang w:val="en-US" w:eastAsia="zh-CN"/>
        </w:rPr>
      </w:r>
      <w:r>
        <w:rPr>
          <w:rFonts w:hint="eastAsia" w:ascii="宋体" w:hAnsi="宋体" w:eastAsia="宋体" w:cs="宋体"/>
          <w:b/>
          <w:color w:val="auto"/>
          <w:sz w:val="24"/>
          <w:highlight w:val="none"/>
        </w:rPr>
        <w:t xml:space="preserve">，不接受超过</w:t>
      </w:r>
      <w:r>
        <w:rPr>
          <w:rFonts w:hint="eastAsia" w:ascii="宋体" w:hAnsi="宋体" w:eastAsia="宋体" w:cs="宋体"/>
          <w:b/>
          <w:color w:val="auto"/>
          <w:sz w:val="24"/>
          <w:highlight w:val="none"/>
        </w:rPr>
      </w:r>
      <w:r>
        <w:rPr>
          <w:rFonts w:hint="eastAsia" w:ascii="宋体" w:hAnsi="宋体" w:eastAsia="宋体" w:cs="宋体"/>
          <w:b/>
          <w:color w:val="auto"/>
          <w:sz w:val="24"/>
          <w:highlight w:val="none"/>
          <w:lang w:val="en-US" w:eastAsia="zh-CN"/>
        </w:rPr>
        <w:t xml:space="preserve">1702864.4元人民币</w:t>
      </w:r>
      <w:r/>
      <w:r>
        <w:rPr>
          <w:rFonts w:hint="eastAsia" w:ascii="宋体" w:hAnsi="宋体" w:eastAsia="宋体" w:cs="宋体"/>
          <w:b/>
          <w:color w:val="auto"/>
          <w:sz w:val="24"/>
          <w:highlight w:val="none"/>
        </w:rPr>
      </w:r>
      <w:r>
        <w:rPr>
          <w:rFonts w:hint="eastAsia" w:ascii="宋体" w:hAnsi="宋体" w:eastAsia="宋体" w:cs="宋体"/>
          <w:b/>
          <w:color w:val="auto"/>
          <w:sz w:val="24"/>
          <w:highlight w:val="none"/>
        </w:rPr>
        <w:t xml:space="preserve">（最高限价）的报价。报价包括但不限于产品价、税金、运费、服务、措施费、安全文明施工费、供应商的利润等全部费用。采购人不再支付报价以外的任何费用。</w:t>
      </w:r>
      <w:r/>
    </w:p>
    <w:p>
      <w:pPr>
        <w:ind w:firstLine="723"/>
        <w:jc w:val="left"/>
        <w:widowControl/>
        <w:rPr>
          <w:rFonts w:ascii="Times New Roman" w:hAnsi="Times New Roman" w:eastAsia="宋体" w:cs="Times New Roman"/>
          <w:color w:val="auto"/>
          <w:sz w:val="20"/>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注：最终结算价以审计结果为准</w:t>
      </w:r>
      <w:r/>
    </w:p>
    <w:p>
      <w:pPr>
        <w:ind w:firstLine="482"/>
        <w:spacing w:line="360" w:lineRule="auto"/>
        <w:rPr>
          <w:rFonts w:ascii="宋体" w:hAnsi="宋体" w:eastAsia="宋体" w:cs="宋体"/>
          <w:b/>
          <w:bCs/>
          <w:color w:val="auto"/>
          <w:sz w:val="24"/>
          <w:highlight w:val="none"/>
          <w:lang w:val="de-DE"/>
        </w:rPr>
      </w:pPr>
      <w:r>
        <w:rPr>
          <w:rFonts w:hint="eastAsia" w:ascii="宋体" w:hAnsi="宋体" w:eastAsia="宋体" w:cs="宋体"/>
          <w:b/>
          <w:bCs/>
          <w:color w:val="auto"/>
          <w:sz w:val="24"/>
          <w:highlight w:val="none"/>
          <w:lang w:val="de-DE"/>
        </w:rPr>
        <w:t xml:space="preserve">二、项目具体要求：</w:t>
      </w:r>
      <w:r/>
    </w:p>
    <w:p>
      <w:pPr>
        <w:ind w:firstLine="240"/>
        <w:spacing w:line="360" w:lineRule="auto"/>
        <w:rPr>
          <w:rFonts w:hint="eastAsia" w:ascii="宋体" w:hAnsi="宋体" w:eastAsia="宋体" w:cs="宋体"/>
          <w:color w:val="auto"/>
          <w:sz w:val="24"/>
          <w:highlight w:val="none"/>
          <w:lang w:val="de-DE" w:eastAsia="zh-CN"/>
        </w:rPr>
      </w:pPr>
      <w:r>
        <w:rPr>
          <w:rFonts w:hint="eastAsia" w:ascii="宋体" w:hAnsi="宋体" w:eastAsia="宋体" w:cs="宋体"/>
          <w:color w:val="auto"/>
          <w:sz w:val="24"/>
          <w:highlight w:val="none"/>
          <w:lang w:val="de-DE"/>
        </w:rPr>
        <w:t xml:space="preserve">1.项目名称：</w:t>
      </w:r>
      <w:r>
        <w:rPr>
          <w:rFonts w:hint="eastAsia" w:ascii="宋体" w:hAnsi="宋体" w:eastAsia="宋体" w:cs="宋体"/>
          <w:color w:val="auto"/>
          <w:sz w:val="24"/>
          <w:highlight w:val="none"/>
          <w:lang w:val="de-DE" w:eastAsia="zh-CN"/>
        </w:rPr>
        <w:t xml:space="preserve">智能化公厕改造项目（2025年城区公厕改造及维修工程）</w:t>
      </w:r>
      <w:r/>
    </w:p>
    <w:p>
      <w:pPr>
        <w:ind w:firstLine="240"/>
        <w:spacing w:line="360" w:lineRule="auto"/>
        <w:rPr>
          <w:rFonts w:ascii="宋体" w:hAnsi="宋体" w:eastAsia="宋体" w:cs="宋体"/>
          <w:color w:val="auto"/>
          <w:sz w:val="24"/>
          <w:highlight w:val="none"/>
          <w:lang w:val="de-DE"/>
        </w:rPr>
      </w:pPr>
      <w:r>
        <w:rPr>
          <w:rFonts w:hint="eastAsia" w:ascii="宋体" w:hAnsi="宋体" w:eastAsia="宋体" w:cs="宋体"/>
          <w:color w:val="auto"/>
          <w:sz w:val="24"/>
          <w:highlight w:val="none"/>
          <w:lang w:val="de-DE"/>
        </w:rPr>
        <w:t xml:space="preserve">2.项目地址：</w:t>
      </w:r>
      <w:r>
        <w:rPr>
          <w:rFonts w:hint="eastAsia" w:ascii="宋体" w:hAnsi="宋体" w:eastAsia="宋体" w:cs="宋体"/>
          <w:color w:val="auto"/>
          <w:sz w:val="24"/>
          <w:highlight w:val="none"/>
          <w:lang w:val="de-DE" w:eastAsia="zh-CN"/>
        </w:rPr>
        <w:t xml:space="preserve">沛县城市管理局</w:t>
      </w:r>
      <w:r/>
    </w:p>
    <w:p>
      <w:pPr>
        <w:ind w:firstLine="240"/>
        <w:spacing w:line="360" w:lineRule="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val="de-DE"/>
        </w:rPr>
        <w:t xml:space="preserve">3.计划工期：</w:t>
      </w:r>
      <w:r>
        <w:rPr>
          <w:rFonts w:hint="eastAsia" w:ascii="宋体" w:hAnsi="宋体" w:eastAsia="宋体" w:cs="宋体"/>
          <w:color w:val="auto"/>
          <w:sz w:val="24"/>
          <w:highlight w:val="none"/>
          <w:lang w:val="en-US" w:eastAsia="zh-CN"/>
        </w:rPr>
        <w:t xml:space="preserve">50</w:t>
      </w:r>
      <w:r>
        <w:rPr>
          <w:rFonts w:hint="eastAsia" w:ascii="Times New Roman" w:hAnsi="Times New Roman" w:eastAsia="宋体" w:cs="Times New Roman"/>
          <w:color w:val="auto"/>
          <w:sz w:val="24"/>
          <w:szCs w:val="28"/>
          <w:highlight w:val="none"/>
          <w:lang w:val="en-US" w:eastAsia="zh-CN"/>
        </w:rPr>
        <w:t xml:space="preserve">天</w:t>
      </w:r>
      <w:r>
        <w:rPr>
          <w:rFonts w:hint="eastAsia" w:ascii="Times New Roman" w:hAnsi="Times New Roman" w:eastAsia="宋体" w:cs="Times New Roman"/>
          <w:color w:val="auto"/>
          <w:sz w:val="24"/>
          <w:szCs w:val="28"/>
          <w:highlight w:val="none"/>
          <w:lang w:val="en-US" w:eastAsia="zh-CN"/>
        </w:rPr>
        <w:t xml:space="preserve">（</w:t>
      </w:r>
      <w:r>
        <w:rPr>
          <w:rFonts w:hint="eastAsia" w:ascii="Times New Roman" w:hAnsi="Times New Roman" w:eastAsia="宋体" w:cs="Times New Roman"/>
          <w:color w:val="auto"/>
          <w:sz w:val="24"/>
          <w:szCs w:val="28"/>
          <w:highlight w:val="none"/>
          <w:lang w:val="en-US" w:eastAsia="zh-CN"/>
        </w:rPr>
        <w:t xml:space="preserve">具体</w:t>
      </w:r>
      <w:r>
        <w:rPr>
          <w:rFonts w:hint="eastAsia" w:ascii="Times New Roman" w:hAnsi="Times New Roman" w:eastAsia="宋体" w:cs="Times New Roman"/>
          <w:color w:val="auto"/>
          <w:sz w:val="24"/>
          <w:szCs w:val="28"/>
          <w:highlight w:val="none"/>
          <w:lang w:val="en-US" w:eastAsia="zh-CN"/>
        </w:rPr>
        <w:t xml:space="preserve">以</w:t>
      </w:r>
      <w:r>
        <w:rPr>
          <w:rFonts w:hint="eastAsia" w:ascii="Times New Roman" w:hAnsi="Times New Roman" w:eastAsia="宋体" w:cs="Times New Roman"/>
          <w:color w:val="auto"/>
          <w:sz w:val="24"/>
          <w:szCs w:val="28"/>
          <w:highlight w:val="none"/>
          <w:lang w:val="en-US" w:eastAsia="zh-CN"/>
        </w:rPr>
        <w:t xml:space="preserve">双方</w:t>
      </w:r>
      <w:r>
        <w:rPr>
          <w:rFonts w:hint="eastAsia" w:ascii="Times New Roman" w:hAnsi="Times New Roman" w:eastAsia="宋体" w:cs="Times New Roman"/>
          <w:color w:val="auto"/>
          <w:sz w:val="24"/>
          <w:szCs w:val="28"/>
          <w:highlight w:val="none"/>
          <w:lang w:val="en-US" w:eastAsia="zh-CN"/>
        </w:rPr>
        <w:t xml:space="preserve">实际</w:t>
      </w:r>
      <w:r>
        <w:rPr>
          <w:rFonts w:hint="eastAsia" w:ascii="Times New Roman" w:hAnsi="Times New Roman" w:eastAsia="宋体" w:cs="Times New Roman"/>
          <w:color w:val="auto"/>
          <w:sz w:val="24"/>
          <w:szCs w:val="28"/>
          <w:highlight w:val="none"/>
          <w:lang w:val="en-US" w:eastAsia="zh-CN"/>
        </w:rPr>
        <w:t xml:space="preserve">签订</w:t>
      </w:r>
      <w:r>
        <w:rPr>
          <w:rFonts w:hint="eastAsia" w:ascii="Times New Roman" w:hAnsi="Times New Roman" w:eastAsia="宋体" w:cs="Times New Roman"/>
          <w:color w:val="auto"/>
          <w:sz w:val="24"/>
          <w:szCs w:val="28"/>
          <w:highlight w:val="none"/>
          <w:lang w:val="en-US" w:eastAsia="zh-CN"/>
        </w:rPr>
        <w:t xml:space="preserve">合同</w:t>
      </w:r>
      <w:r>
        <w:rPr>
          <w:rFonts w:hint="eastAsia" w:ascii="Times New Roman" w:hAnsi="Times New Roman" w:eastAsia="宋体" w:cs="Times New Roman"/>
          <w:color w:val="auto"/>
          <w:sz w:val="24"/>
          <w:szCs w:val="28"/>
          <w:highlight w:val="none"/>
          <w:lang w:val="en-US" w:eastAsia="zh-CN"/>
        </w:rPr>
        <w:t xml:space="preserve">为准</w:t>
      </w:r>
      <w:r>
        <w:rPr>
          <w:rFonts w:hint="eastAsia" w:ascii="Times New Roman" w:hAnsi="Times New Roman" w:eastAsia="宋体" w:cs="Times New Roman"/>
          <w:color w:val="auto"/>
          <w:sz w:val="24"/>
          <w:szCs w:val="28"/>
          <w:highlight w:val="none"/>
          <w:lang w:val="en-US" w:eastAsia="zh-CN"/>
        </w:rPr>
        <w:t xml:space="preserve">）</w:t>
      </w:r>
      <w:r/>
    </w:p>
    <w:p>
      <w:pPr>
        <w:ind w:firstLine="240"/>
        <w:spacing w:line="360" w:lineRule="auto"/>
        <w:rPr>
          <w:rFonts w:hint="eastAsia" w:ascii="宋体" w:hAnsi="宋体" w:eastAsia="宋体" w:cs="宋体"/>
          <w:color w:val="auto"/>
          <w:sz w:val="24"/>
          <w:highlight w:val="none"/>
          <w:lang w:val="de-DE"/>
        </w:rPr>
      </w:pPr>
      <w:r>
        <w:rPr>
          <w:rFonts w:hint="eastAsia" w:ascii="宋体" w:hAnsi="宋体" w:eastAsia="宋体" w:cs="宋体"/>
          <w:color w:val="auto"/>
          <w:sz w:val="24"/>
          <w:highlight w:val="none"/>
          <w:lang w:val="de-DE"/>
        </w:rPr>
        <w:t xml:space="preserve">4.项目内容：具体内容包括： </w:t>
      </w:r>
      <w:r/>
    </w:p>
    <w:p>
      <w:pPr>
        <w:ind w:firstLine="24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de-DE"/>
        </w:rPr>
        <w:t xml:space="preserve">公厕外立面刷新、修补，顶部防水铺设，内部瓷砖、吊顶、隔板、马桶、蹲便、小便器、洗手池、水电管线、雨水管更换，除臭设备、灭蝇灯、增压罐安装等，具体详见工程量清单及施工图纸所含全部内容；</w:t>
      </w:r>
      <w:r>
        <w:rPr>
          <w:rFonts w:hint="eastAsia" w:ascii="宋体" w:hAnsi="宋体" w:eastAsia="宋体" w:cs="宋体"/>
          <w:color w:val="auto"/>
          <w:sz w:val="24"/>
          <w:highlight w:val="none"/>
          <w:lang w:val="en-US" w:eastAsia="zh-CN"/>
        </w:rPr>
        <w:t xml:space="preserve">最终</w:t>
      </w:r>
      <w:r>
        <w:rPr>
          <w:rFonts w:hint="eastAsia" w:ascii="宋体" w:hAnsi="宋体" w:eastAsia="宋体" w:cs="宋体"/>
          <w:color w:val="auto"/>
          <w:sz w:val="24"/>
          <w:highlight w:val="none"/>
        </w:rPr>
        <w:t xml:space="preserve">符合采购方需求</w:t>
      </w:r>
      <w:r>
        <w:rPr>
          <w:rFonts w:hint="eastAsia" w:ascii="宋体" w:hAnsi="宋体" w:eastAsia="宋体" w:cs="宋体"/>
          <w:color w:val="auto"/>
          <w:sz w:val="24"/>
          <w:highlight w:val="none"/>
          <w:lang w:eastAsia="zh-CN"/>
        </w:rPr>
        <w:t xml:space="preserve">。</w:t>
      </w:r>
      <w:r/>
    </w:p>
    <w:p>
      <w:pPr>
        <w:ind w:firstLine="240"/>
        <w:spacing w:line="360" w:lineRule="auto"/>
        <w:rPr>
          <w:rFonts w:ascii="宋体" w:hAnsi="宋体" w:eastAsia="宋体" w:cs="宋体"/>
          <w:color w:val="auto"/>
          <w:sz w:val="24"/>
          <w:highlight w:val="none"/>
          <w:lang w:val="de-DE"/>
        </w:rPr>
      </w:pPr>
      <w:r>
        <w:rPr>
          <w:rFonts w:hint="eastAsia" w:ascii="宋体" w:hAnsi="宋体" w:eastAsia="宋体" w:cs="宋体"/>
          <w:color w:val="auto"/>
          <w:sz w:val="24"/>
          <w:highlight w:val="none"/>
          <w:lang w:val="de-DE"/>
        </w:rPr>
        <w:t xml:space="preserve">5.采用的技术规范：执行国家、江苏省及徐州市颁发的现行行业规范、相关标准及相关文件；</w:t>
      </w:r>
      <w:r/>
    </w:p>
    <w:p>
      <w:pPr>
        <w:ind w:firstLine="240"/>
        <w:spacing w:line="360" w:lineRule="auto"/>
        <w:rPr>
          <w:rFonts w:ascii="宋体" w:hAnsi="宋体" w:eastAsia="宋体" w:cs="宋体"/>
          <w:color w:val="auto"/>
          <w:sz w:val="24"/>
          <w:highlight w:val="none"/>
          <w:lang w:val="de-DE"/>
        </w:rPr>
      </w:pPr>
      <w:r>
        <w:rPr>
          <w:rFonts w:hint="eastAsia" w:ascii="宋体" w:hAnsi="宋体" w:eastAsia="宋体" w:cs="宋体"/>
          <w:color w:val="auto"/>
          <w:sz w:val="24"/>
          <w:highlight w:val="none"/>
          <w:lang w:val="de-DE"/>
        </w:rPr>
        <w:t xml:space="preserve">6.质量标准：合格</w:t>
      </w:r>
      <w:r/>
    </w:p>
    <w:p>
      <w:pPr>
        <w:ind w:firstLine="240"/>
        <w:spacing w:line="360" w:lineRule="auto"/>
        <w:rPr>
          <w:rFonts w:ascii="宋体" w:hAnsi="宋体" w:eastAsia="宋体" w:cs="宋体"/>
          <w:color w:val="auto"/>
          <w:sz w:val="24"/>
          <w:highlight w:val="none"/>
          <w:lang w:val="de-DE"/>
        </w:rPr>
      </w:pPr>
      <w:r>
        <w:rPr>
          <w:rFonts w:hint="eastAsia" w:ascii="宋体" w:hAnsi="宋体" w:eastAsia="宋体" w:cs="宋体"/>
          <w:color w:val="auto"/>
          <w:sz w:val="24"/>
          <w:highlight w:val="none"/>
          <w:lang w:val="de-DE"/>
        </w:rPr>
        <w:t xml:space="preserve">7.现场勘察：</w:t>
      </w:r>
      <w:r>
        <w:rPr>
          <w:rFonts w:hint="eastAsia" w:ascii="宋体" w:hAnsi="宋体" w:eastAsia="宋体" w:cs="宋体"/>
          <w:color w:val="auto"/>
          <w:sz w:val="24"/>
          <w:highlight w:val="none"/>
          <w:lang w:val="en-US" w:eastAsia="zh-CN"/>
        </w:rPr>
        <w:t xml:space="preserve">各潜在投标供应商可根据自身情况选择是否自行勘察，谨慎报价 ，风险自负</w:t>
      </w:r>
      <w:r>
        <w:rPr>
          <w:rFonts w:hint="eastAsia" w:ascii="宋体" w:hAnsi="宋体" w:eastAsia="宋体" w:cs="宋体"/>
          <w:color w:val="auto"/>
          <w:sz w:val="24"/>
          <w:highlight w:val="none"/>
        </w:rPr>
        <w:t xml:space="preserve">。</w:t>
      </w:r>
      <w:r/>
    </w:p>
    <w:p>
      <w:pPr>
        <w:ind w:firstLine="240"/>
        <w:spacing w:line="360" w:lineRule="auto"/>
        <w:rPr>
          <w:rFonts w:ascii="宋体" w:hAnsi="宋体" w:eastAsia="宋体" w:cs="宋体"/>
          <w:b/>
          <w:bCs/>
          <w:color w:val="auto"/>
          <w:sz w:val="24"/>
          <w:highlight w:val="none"/>
          <w:lang w:val="de-DE"/>
        </w:rPr>
      </w:pPr>
      <w:r>
        <w:rPr>
          <w:rFonts w:hint="eastAsia" w:ascii="宋体" w:hAnsi="宋体" w:eastAsia="宋体" w:cs="宋体"/>
          <w:color w:val="auto"/>
          <w:sz w:val="24"/>
          <w:highlight w:val="none"/>
          <w:lang w:val="de-DE"/>
        </w:rPr>
        <w:t xml:space="preserve">8.</w:t>
      </w:r>
      <w:r>
        <w:rPr>
          <w:rFonts w:hint="eastAsia" w:ascii="宋体" w:hAnsi="宋体" w:eastAsia="宋体" w:cs="宋体"/>
          <w:b/>
          <w:bCs/>
          <w:color w:val="auto"/>
          <w:sz w:val="24"/>
          <w:highlight w:val="none"/>
          <w:lang w:val="de-DE"/>
        </w:rPr>
        <w:t xml:space="preserve">施工现场施工，造成的人员伤害等各种损失由供应商负责。</w:t>
      </w:r>
      <w:r/>
    </w:p>
    <w:p>
      <w:pPr>
        <w:ind w:firstLine="482"/>
        <w:jc w:val="both"/>
        <w:widowControl w:val="off"/>
        <w:rPr>
          <w:rFonts w:ascii="宋体" w:hAnsi="宋体" w:eastAsia="宋体" w:cs="宋体"/>
          <w:color w:val="auto"/>
          <w:sz w:val="28"/>
          <w:szCs w:val="28"/>
          <w:highlight w:val="none"/>
          <w:u w:val="single"/>
          <w:lang w:val="en-US" w:eastAsia="zh-CN" w:bidi="ar-SA"/>
        </w:rPr>
      </w:pPr>
      <w:r>
        <w:rPr>
          <w:rFonts w:hint="eastAsia" w:ascii="宋体" w:hAnsi="宋体" w:eastAsia="宋体" w:cs="宋体"/>
          <w:b/>
          <w:bCs/>
          <w:color w:val="auto"/>
          <w:sz w:val="24"/>
          <w:szCs w:val="28"/>
          <w:highlight w:val="none"/>
          <w:u w:val="single"/>
          <w:lang w:val="en-US" w:eastAsia="zh-CN" w:bidi="ar-SA"/>
        </w:rPr>
        <w:t xml:space="preserve">本项目质保期为2年</w:t>
      </w:r>
      <w:r/>
    </w:p>
    <w:p>
      <w:pPr>
        <w:numPr>
          <w:ilvl w:val="0"/>
          <w:numId w:val="0"/>
        </w:numPr>
        <w:ind w:firstLine="241"/>
        <w:spacing w:line="360" w:lineRule="auto"/>
        <w:rPr>
          <w:rFonts w:ascii="宋体" w:hAnsi="宋体" w:eastAsia="宋体" w:cs="宋体"/>
          <w:b/>
          <w:bCs/>
          <w:color w:val="auto"/>
          <w:sz w:val="24"/>
          <w:highlight w:val="none"/>
          <w:lang w:val="de-DE"/>
        </w:rPr>
      </w:pPr>
      <w:r>
        <w:rPr>
          <w:rFonts w:hint="eastAsia" w:ascii="宋体" w:hAnsi="宋体" w:eastAsia="宋体" w:cs="宋体"/>
          <w:b/>
          <w:bCs/>
          <w:color w:val="auto"/>
          <w:sz w:val="24"/>
          <w:szCs w:val="24"/>
          <w:highlight w:val="none"/>
          <w:lang w:val="de-DE" w:eastAsia="zh-CN" w:bidi="ar-SA"/>
        </w:rPr>
        <w:t xml:space="preserve">三、</w:t>
      </w:r>
      <w:r>
        <w:rPr>
          <w:rFonts w:hint="eastAsia" w:ascii="宋体" w:hAnsi="宋体" w:eastAsia="宋体" w:cs="宋体"/>
          <w:b/>
          <w:bCs/>
          <w:color w:val="auto"/>
          <w:sz w:val="24"/>
          <w:highlight w:val="none"/>
          <w:lang w:val="de-DE"/>
        </w:rPr>
        <w:t xml:space="preserve">工程概况</w:t>
      </w:r>
      <w:r/>
    </w:p>
    <w:p>
      <w:pPr>
        <w:ind w:firstLine="240"/>
        <w:spacing w:line="360" w:lineRule="auto"/>
        <w:rPr>
          <w:rFonts w:ascii="宋体" w:hAnsi="宋体" w:eastAsia="宋体" w:cs="宋体"/>
          <w:color w:val="auto"/>
          <w:sz w:val="24"/>
          <w:lang w:val="de-DE"/>
        </w:rPr>
      </w:pPr>
      <w:r>
        <w:rPr>
          <w:rFonts w:hint="eastAsia" w:ascii="宋体" w:hAnsi="宋体" w:eastAsia="宋体" w:cs="宋体"/>
          <w:color w:val="auto"/>
          <w:sz w:val="24"/>
          <w:highlight w:val="none"/>
        </w:rPr>
        <w:t xml:space="preserve">项目位于</w:t>
      </w:r>
      <w:r>
        <w:rPr>
          <w:rFonts w:hint="eastAsia" w:ascii="宋体" w:hAnsi="宋体" w:eastAsia="宋体" w:cs="宋体"/>
          <w:color w:val="auto"/>
          <w:sz w:val="24"/>
          <w:highlight w:val="none"/>
          <w:lang w:val="de-DE" w:eastAsia="zh-CN"/>
        </w:rPr>
        <w:t xml:space="preserve">沛县</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de-DE"/>
        </w:rPr>
        <w:t xml:space="preserve">详</w:t>
      </w:r>
      <w:r>
        <w:rPr>
          <w:rFonts w:hint="eastAsia" w:ascii="宋体" w:hAnsi="宋体" w:eastAsia="宋体" w:cs="宋体"/>
          <w:color w:val="auto"/>
          <w:sz w:val="24"/>
          <w:lang w:val="de-DE"/>
        </w:rPr>
        <w:t xml:space="preserve">见工程量清</w:t>
      </w:r>
      <w:r>
        <w:rPr>
          <w:rFonts w:hint="eastAsia" w:ascii="宋体" w:hAnsi="宋体" w:eastAsia="宋体" w:cs="宋体"/>
          <w:color w:val="auto"/>
          <w:sz w:val="24"/>
        </w:rPr>
        <w:t xml:space="preserve">单及实地勘察全部内容，符合采购方需求</w:t>
      </w:r>
      <w:r>
        <w:rPr>
          <w:rFonts w:hint="eastAsia" w:ascii="宋体" w:hAnsi="宋体" w:eastAsia="宋体" w:cs="宋体"/>
          <w:color w:val="auto"/>
          <w:sz w:val="24"/>
          <w:lang w:val="de-DE"/>
        </w:rPr>
        <w:t xml:space="preserve">；</w:t>
      </w:r>
      <w:r/>
    </w:p>
    <w:p>
      <w:pPr>
        <w:ind w:firstLine="240"/>
        <w:spacing w:line="360" w:lineRule="auto"/>
        <w:rPr>
          <w:rFonts w:ascii="宋体" w:hAnsi="宋体" w:eastAsia="宋体" w:cs="宋体"/>
          <w:color w:val="auto"/>
          <w:sz w:val="24"/>
          <w:lang w:val="de-DE"/>
        </w:rPr>
      </w:pPr>
      <w:r>
        <w:rPr>
          <w:rFonts w:hint="eastAsia" w:ascii="宋体" w:hAnsi="宋体" w:eastAsia="宋体" w:cs="宋体"/>
          <w:color w:val="auto"/>
          <w:sz w:val="24"/>
          <w:lang w:val="de-DE"/>
        </w:rPr>
        <w:t xml:space="preserve">四、《已标价的工程量清单》要求</w:t>
      </w:r>
      <w:r/>
    </w:p>
    <w:p>
      <w:pPr>
        <w:ind w:firstLine="240"/>
        <w:spacing w:line="360" w:lineRule="auto"/>
        <w:rPr>
          <w:rFonts w:ascii="宋体" w:hAnsi="宋体" w:eastAsia="宋体" w:cs="宋体"/>
          <w:color w:val="auto"/>
          <w:sz w:val="24"/>
          <w:lang w:val="de-DE"/>
        </w:rPr>
      </w:pPr>
      <w:r>
        <w:rPr>
          <w:rFonts w:hint="eastAsia" w:ascii="宋体" w:hAnsi="宋体" w:eastAsia="宋体" w:cs="宋体"/>
          <w:color w:val="auto"/>
          <w:sz w:val="24"/>
          <w:lang w:val="de-DE"/>
        </w:rPr>
        <w:t xml:space="preserve">（一）工程量清单详见附件</w:t>
      </w:r>
      <w:r/>
    </w:p>
    <w:p>
      <w:pPr>
        <w:ind w:firstLine="240"/>
        <w:spacing w:line="360" w:lineRule="auto"/>
        <w:rPr>
          <w:rFonts w:ascii="宋体" w:hAnsi="宋体" w:eastAsia="宋体" w:cs="宋体"/>
          <w:color w:val="auto"/>
          <w:sz w:val="24"/>
          <w:lang w:val="de-DE"/>
        </w:rPr>
      </w:pPr>
      <w:r>
        <w:rPr>
          <w:rFonts w:hint="eastAsia" w:ascii="宋体" w:hAnsi="宋体" w:eastAsia="宋体" w:cs="宋体"/>
          <w:color w:val="auto"/>
          <w:sz w:val="24"/>
          <w:lang w:val="de-DE"/>
        </w:rPr>
        <w:t xml:space="preserve">附件：工程量清单。</w:t>
      </w:r>
      <w:r/>
    </w:p>
    <w:p>
      <w:pPr>
        <w:ind w:left="0" w:firstLine="480"/>
        <w:jc w:val="both"/>
        <w:spacing w:after="120" w:line="360" w:lineRule="auto"/>
        <w:widowControl w:val="off"/>
        <w:rPr>
          <w:rFonts w:ascii="宋体" w:hAnsi="宋体" w:eastAsia="宋体" w:cs="宋体"/>
          <w:color w:val="auto"/>
          <w:sz w:val="24"/>
          <w:szCs w:val="24"/>
          <w:lang w:val="de-DE" w:eastAsia="zh-CN" w:bidi="ar-SA"/>
        </w:rPr>
      </w:pPr>
      <w:r>
        <w:rPr>
          <w:rFonts w:hint="eastAsia" w:ascii="宋体" w:hAnsi="宋体" w:eastAsia="宋体" w:cs="宋体"/>
          <w:color w:val="auto"/>
          <w:sz w:val="24"/>
          <w:szCs w:val="24"/>
          <w:lang w:val="de-DE" w:eastAsia="zh-CN" w:bidi="ar-SA"/>
        </w:rPr>
        <w:t xml:space="preserve">说明：根据采购人要求，</w:t>
      </w:r>
      <w:r>
        <w:rPr>
          <w:rFonts w:hint="eastAsia" w:ascii="宋体" w:hAnsi="宋体" w:eastAsia="宋体" w:cs="宋体"/>
          <w:color w:val="auto"/>
          <w:sz w:val="24"/>
          <w:highlight w:val="none"/>
          <w:lang w:val="de-DE" w:eastAsia="zh-CN"/>
        </w:rPr>
        <w:t xml:space="preserve">2025年城区公厕改造及维修工程</w:t>
      </w:r>
      <w:r>
        <w:rPr>
          <w:rFonts w:hint="eastAsia" w:ascii="宋体" w:hAnsi="宋体" w:eastAsia="宋体" w:cs="宋体"/>
          <w:color w:val="auto"/>
          <w:sz w:val="24"/>
          <w:szCs w:val="24"/>
          <w:lang w:val="de-DE" w:eastAsia="zh-CN" w:bidi="ar-SA"/>
        </w:rPr>
        <w:t xml:space="preserve">，具体工程量以附件 1 工程量清单为准。</w:t>
      </w:r>
      <w:r/>
    </w:p>
    <w:p>
      <w:pPr>
        <w:ind w:left="0" w:firstLine="24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（二）《已标价的工程量清单》报价要求</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1.报价内容</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1）报价应包括磋商文件中所确定的范围内工程量清单中所含的全部内容，以及为完成上述内容所需的全部费用。</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2）供应商应按采购人提供的工程量清单填报价格。填写的项目名称、项目特征、计量单位、工程量必须与采购人提供的一致。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4）供应商必须按统一的工程量清单报价，成交后，在施工过程中，不论由于工程量清单有误或漏项，还是由于设计变更、现场变更、签证引起的工程量清单项目或清单项目工程数量的增减，均按实调整。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5）施工组织设计所描述的技术措施所发生的费用，视为已体现在供应商报价的非实体性消耗所发生的费用中。</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供应商现场勘察，了解周边原有建筑、设施，事先视察工地，充分了解工程位置、邻近建筑物、工地情况及任何其它足以影响报价之情况，供应商须按接收工地日的现况，接收工地及自费清理任何遗留在工地上之废物，施工过程中因工地特殊情况而引起二次搬运、安全防护等。供应商在报价时应考虑这样因素，并在报价中予以考虑，采购人不接受供应商关于此类费用的任何诉讼或索赔。</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安全文明施工是供应商的责任，采购人不接受任何由于供应商施工而导致的扰民或民扰引起的诉讼或索赔。供应商应在其报价时充分考虑因扰民与民扰而造成的工期影响与费用增加，在报价予以考虑，采购人不接受任何由于供应商考虑不周为由而提出的任何索赔。</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8）由供应商负责办理相关建设、城管、市政、安全、环保等部门的手续，施工供应商在报价时应考虑这样因素，费用包含在报价中，采购人不接受供应商关于此类费用的任何诉讼或索赔。</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9）垃圾外运，运距及运输方式供应商自行考虑。</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2.报价方式</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1）供应商应充分考虑施工期间各类建材的市场风险，并计入总报价，供应商在计算报价时应考虑一定的风险系数。</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2）材料风险约定：</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（1）对于法律、法规、规章或有关政策出台导致工程税金、规费等发生变化的，应按照有关规定执行。</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3、报价的计价方法</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4、报价编制依据及要求：</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本工程执行现行国家标准《建</w:t>
      </w:r>
      <w:r>
        <w:rPr>
          <w:rFonts w:hint="eastAsia" w:ascii="宋体" w:hAnsi="宋体" w:eastAsia="宋体" w:cs="宋体"/>
          <w:color w:val="auto"/>
          <w:sz w:val="24"/>
          <w:szCs w:val="24"/>
          <w:lang w:val="en-US" w:eastAsia="zh-CN" w:bidi="ar-SA"/>
        </w:rPr>
        <w:t xml:space="preserve">设工程工程量清单计价规范》（GB50500-2013）及《房屋建筑与装饰工程工程量计算规范》(GB50854-2013）、《江苏省建筑与装饰工程计价表》（2014版）、《江苏省安装工程计价表》(2014 版)、《江苏省修缮建筑定额》（2009版）、《江苏省修缮安装定额》（2009 版）、《省住房城乡建设厅关于建筑业实施营改增后江苏省建设工程计价依据调整的通知》（苏建价[2016]154号文）有关文件规定及采购人提供的工程量清单。还包括采购人提供的施工图纸、磋商文件、工程量清单及其补充通知和答疑纪要。</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[2016]154号文）文件规定计算。（不可竞争费包括：安全文明施工措施费、社会保险费、住房公积金、税金）。</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2）本工程的其他规定：</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（1）招标控制价编制价格参考</w:t>
      </w:r>
      <w:r>
        <w:rPr>
          <w:rFonts w:hint="eastAsia" w:ascii="宋体" w:hAnsi="宋体" w:eastAsia="宋体" w:cs="Times New Roman"/>
          <w:bCs/>
          <w:color w:val="auto"/>
          <w:sz w:val="24"/>
          <w:szCs w:val="24"/>
          <w:u w:val="single"/>
          <w:lang w:val="en-US" w:eastAsia="zh-CN" w:bidi="ar-SA"/>
        </w:rPr>
        <w:t xml:space="preserve">沛县市场价及徐州同期信息指导价执行</w:t>
      </w:r>
      <w:r>
        <w:rPr>
          <w:rFonts w:hint="eastAsia" w:ascii="宋体" w:hAnsi="宋体" w:eastAsia="宋体" w:cs="宋体"/>
          <w:color w:val="auto"/>
          <w:sz w:val="24"/>
          <w:szCs w:val="24"/>
          <w:lang w:val="en-US" w:eastAsia="zh-CN" w:bidi="ar-SA"/>
        </w:rPr>
        <w:t xml:space="preserve">，供应商的材料价格根据市场行情自主报价。</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（2）招标控制价人工单价参照苏建函价同期文件。</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暂估价材料的单价由采购人提供，材料单价组成中应包括场外运输与采购保管费。供应商根据该单价计算相应分部分项工程和措施项目的综合单价，并在材料暂估价格表中列出暂估材料的数量、单价、合价和汇总价格，该汇总价格不计入其他项目工程费合计中。</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3）建筑安装工程造价的组成：</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（1）分部分项工程费：</w:t>
      </w:r>
      <w:r>
        <w:rPr>
          <w:rFonts w:ascii="宋体" w:hAnsi="宋体" w:eastAsia="宋体" w:cs="Times New Roman"/>
          <w:color w:val="auto"/>
          <w:sz w:val="24"/>
          <w:szCs w:val="24"/>
          <w:lang w:val="en-US" w:eastAsia="zh-CN" w:bidi="ar-SA"/>
        </w:rPr>
        <w:t xml:space="preserve">现行国家标准《建设工程工程量清单计价规范》（GB50500-2013）及《江苏省建筑与装饰工程计价定额》（2014版）、《江苏省安装工程计价定额》(2014版)、《江苏省建设工程费用定额》（2014年）（营改增后调整内容）、《省住房城乡建设厅关于调整建设工程计价增值税税率的通知》（苏建函价〔2019〕178号文）及有关文件规定。</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（2）措施项目费</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下述措施项目费中，除现场安全文明施工措施费外其它措施项目均由供应商自主报价，可以以工程量乘以综合单价计算，也可以以费率计算。</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安全文明措施费基本费：详见本工程量清单；</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扬尘污染防治增加费：详见工程量清单。</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夜间施工：招标控制价不计，供应商可自主报价，结算时不再调整。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非夜间施工照明：招标控制价不计，供应商可自主报价，结算时不再调整。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二次搬运：招标控制价不计，供应商可自主报价，结算时不再调整。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冬雨季施工：招标控制价不计，供应商可自主报价，结算时不再调整。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施工排水：招标控制价不计，供应商可自主报价，结算时不再调整。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施工降水：招标控制价不计，供应商可自主报价，结算时不再调整。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地上、地下设施，建筑物的临时保护设施：招标控制价不计，供应商可自主报价，结算时不再调整。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已完工程及设备保护：招标控制价不计，供应商可自主报价，结算时不再调整。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临时设施费：详见本工程量清单。</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赶工措施：招标控制价不计，供应商可自主报价，结算时不再调整。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工程按质论价：招标控制价不计，供应商根据实际情况自主报价，结算时不再调整。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住宅分户验收：招标控制价不计，供应商可自主报价，结算时不再调整。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建筑工人实名制费用：招标控制价不计，供应商可自主报价，结算时不再调整。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特殊条件下施工增加：招标控制价不计，供应商可自主报价，结算时不再调整。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脚手架费：控制价按《江苏省建筑与装饰工程计价定额》（2014 版）的规定计算，供应商可自主报价，结算时不再调整。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超高费：招标控制价不计，供应商可自主报价，结算时不再调整。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垂直运输机械费：控制价按《江苏省建筑与装饰工程计价定额》（2014 版）的规定计算，供应商可自主报价，结算时不再调整。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供应商应认真勘察现场，充分了解其施工环境、工地现场场地情况、用水用电情况、道路、储存空间、装卸限制、高压线防护、临设搭建及任何其他影响造价及工期的情况，由供应商自行考虑风险并计入报价中，结算时不予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检验试验费：因本工程需要所做的全部检验、试验及检测相关费用，由供应商自行考虑风险并计入报价中，结算时不予调整。</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（3）其他项目费</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暂列金额：以发包人给定的标准计取，不宜超过分部分项工程费的10%，详见工程量清单。</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本工程暂列金额为以下内容：无</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暂估价：本项包括材料（设备）暂估价和专业工程暂估价。</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①材料（设备）暂估价：暂估价材料的单价由采购人提供，材料单价组成中应包括场外运输与采购保管费。供应商根据该单价计算相应分部分项工程和措施项目的综合单价，并在材料暂估价格表中列出暂估材料的数量、单价、合价和汇总价格，该汇总价格不计入其他项目工程费合计中。</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暂估价详见清单《材料（设备）暂估价格表》，结算时根据采购人认可的价格调整材料价格。</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②专业工程暂估价项目是必然发生但暂时不能确定价格，由总承包人与专业工程分包人签订分包合同的专业工程。发包人拟单独发包的专业工程，不得以暂估价的形式列入主体工程磋商文件的其他项目工程量清单中，发包人应与专业工程承包人另行签订施工合同。</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本工程专业工程及其暂估价为：详见清单《专业工程暂估价格表》</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计日工：由发承包双方在合同中另行约定。</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总承包服务费：本工程不计取。</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（4）规费 （执行 2014 年《江苏省建设工程费用定额》（营改增后调整内容））</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工程排污费：按规定计取。</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社会保障费：按规定计取。</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住房公积金：按规定计取。</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（5）税金：按规定计取。</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（6）其他说明：无</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（7）其余详见工程量清单。</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（三）响应文件要求</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首次响应文件中提供《已标价的工程量清单》文件。</w:t>
      </w:r>
      <w:r/>
    </w:p>
    <w:p>
      <w:pPr>
        <w:ind w:left="0" w:firstLine="480"/>
        <w:jc w:val="both"/>
        <w:spacing w:after="120"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按照《工程量清单》编制《已标价的工程量清单》。</w:t>
      </w:r>
      <w:r/>
    </w:p>
    <w:p>
      <w:pPr>
        <w:ind w:left="0" w:firstLine="482"/>
        <w:jc w:val="both"/>
        <w:spacing w:after="120" w:line="360" w:lineRule="auto"/>
        <w:widowControl w:val="off"/>
        <w:rPr>
          <w:rFonts w:ascii="Times New Roman" w:hAnsi="Times New Roman" w:eastAsia="宋体" w:cs="Times New Roman"/>
          <w:color w:val="auto"/>
          <w:sz w:val="21"/>
          <w:szCs w:val="24"/>
          <w:lang w:val="en-US" w:eastAsia="zh-CN" w:bidi="ar-SA"/>
        </w:rPr>
      </w:pPr>
      <w:r>
        <w:rPr>
          <w:rFonts w:hint="eastAsia" w:ascii="宋体" w:hAnsi="宋体" w:eastAsia="宋体" w:cs="宋体"/>
          <w:b/>
          <w:bCs/>
          <w:color w:val="auto"/>
          <w:sz w:val="24"/>
          <w:szCs w:val="24"/>
          <w:lang w:val="en-US" w:eastAsia="zh-CN" w:bidi="ar-SA"/>
        </w:rPr>
        <w:t xml:space="preserve">供应商必须说明其是否响应采购文件中提出的全部服务内容与要求，如果其中某些条款不响应时，应在文件中逐条列出，未列出的视同响应。</w:t>
      </w:r>
      <w:r/>
    </w:p>
    <w:p>
      <w:pPr>
        <w:pStyle w:val="1316"/>
        <w:spacing w:after="0" w:line="360" w:lineRule="auto"/>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四、付款方式：</w:t>
      </w:r>
      <w:r/>
    </w:p>
    <w:p>
      <w:pPr>
        <w:ind w:firstLine="480"/>
        <w:jc w:val="left"/>
        <w:spacing w:line="360" w:lineRule="auto"/>
        <w:rPr>
          <w:rFonts w:hint="default" w:ascii="宋体" w:hAnsi="宋体" w:cs="宋体"/>
          <w:b/>
          <w:bCs/>
          <w:color w:val="000000" w:themeColor="text1"/>
          <w:sz w:val="24"/>
          <w:highlight w:val="none"/>
          <w:u w:val="single"/>
          <w:lang w:val="en-US" w:eastAsia="zh-CN"/>
          <w14:textFill>
            <w14:solidFill>
              <w14:schemeClr w14:val="tx1"/>
            </w14:solidFill>
          </w14:textFill>
        </w:rPr>
      </w:pPr>
      <w:r>
        <w:rPr>
          <w:rFonts w:hint="eastAsia" w:ascii="宋体" w:hAnsi="宋体" w:eastAsia="宋体" w:cs="宋体"/>
          <w:sz w:val="24"/>
          <w:szCs w:val="24"/>
          <w:u w:val="single"/>
        </w:rPr>
        <w:t xml:space="preserve">工程竣工验收合格后按合同价的40%支付工程款；工程竣工结算审计完成后，余款2年内分4次付清，即第一年中秋、春节各付余款25%，第二年中秋、春节各付余款25%。并以沛县审计局审定的工程造价，扣除审减额的5%后作为工程的最终结算依据（具体以实际签订合同为准）。</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                                                  </w:t>
      </w:r>
      <w:r/>
    </w:p>
    <w:p>
      <w:pPr>
        <w:pStyle w:val="1316"/>
        <w:spacing w:after="0"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五</w:t>
      </w:r>
      <w:r>
        <w:rPr>
          <w:rFonts w:hint="eastAsia" w:ascii="宋体" w:hAnsi="宋体" w:cs="宋体"/>
          <w:b/>
          <w:bCs/>
          <w:color w:val="000000" w:themeColor="text1"/>
          <w:sz w:val="24"/>
          <w:highlight w:val="none"/>
          <w14:textFill>
            <w14:solidFill>
              <w14:schemeClr w14:val="tx1"/>
            </w14:solidFill>
          </w14:textFill>
        </w:rPr>
        <w:t xml:space="preserve">、其他要求：</w:t>
      </w:r>
      <w:r/>
    </w:p>
    <w:p>
      <w:pPr>
        <w:pStyle w:val="1316"/>
        <w:spacing w:after="0" w:line="360" w:lineRule="auto"/>
        <w:rPr>
          <w:rFonts w:ascii="宋体" w:hAnsi="宋体" w:cs="宋体"/>
          <w:color w:val="000000" w:themeColor="text1"/>
          <w:sz w:val="20"/>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1、见《磋商文件》附件：6、《拟签订的合同文本》、《工程量清单》及《图纸》。</w:t>
      </w:r>
      <w:r/>
    </w:p>
    <w:p>
      <w:pPr>
        <w:jc w:val="center"/>
        <w:spacing w:line="360" w:lineRule="auto"/>
        <w:rPr>
          <w:rFonts w:ascii="宋体" w:hAnsi="宋体" w:cs="宋体"/>
          <w:b/>
          <w:bCs/>
          <w:color w:val="000000" w:themeColor="text1"/>
          <w:sz w:val="36"/>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000000" w:themeColor="text1"/>
          <w:sz w:val="36"/>
          <w:highlight w:val="none"/>
          <w14:textFill>
            <w14:solidFill>
              <w14:schemeClr w14:val="tx1"/>
            </w14:solidFill>
          </w14:textFill>
        </w:rPr>
      </w:r>
      <w:r/>
    </w:p>
    <w:p>
      <w:pPr>
        <w:jc w:val="center"/>
        <w:spacing w:line="360" w:lineRule="auto"/>
        <w:rPr>
          <w:rFonts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3、磋商报价表</w:t>
      </w:r>
      <w:r/>
    </w:p>
    <w:p>
      <w:pPr>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p>
      <w:pPr>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本次为首次报价</w:t>
      </w:r>
      <w:r/>
    </w:p>
    <w:p>
      <w:pPr>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货币单位：人民币元</w:t>
      </w:r>
      <w:r/>
    </w:p>
    <w:tbl>
      <w:tblPr>
        <w:tblStyle w:val="1132"/>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726"/>
        <w:gridCol w:w="2035"/>
        <w:gridCol w:w="2180"/>
      </w:tblGrid>
      <w:tr>
        <w:trPr>
          <w:cantSplit/>
          <w:jc w:val="center"/>
          <w:trHeight w:val="839"/>
        </w:trPr>
        <w:tc>
          <w:tcPr>
            <w:tcW w:w="4726" w:type="dxa"/>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项目名称</w:t>
            </w:r>
            <w:r/>
          </w:p>
        </w:tc>
        <w:tc>
          <w:tcPr>
            <w:tcW w:w="2035" w:type="dxa"/>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项目内容</w:t>
            </w:r>
            <w:r/>
          </w:p>
        </w:tc>
        <w:tc>
          <w:tcPr>
            <w:tcW w:w="2180" w:type="dxa"/>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总价（小写）</w:t>
            </w:r>
            <w:r/>
          </w:p>
        </w:tc>
      </w:tr>
      <w:tr>
        <w:trPr>
          <w:cantSplit/>
          <w:jc w:val="center"/>
          <w:trHeight w:val="1065" w:hRule="exact"/>
        </w:trPr>
        <w:tc>
          <w:tcPr>
            <w:tcW w:w="4726" w:type="dxa"/>
            <w:vAlign w:val="center"/>
            <w:textDirection w:val="lrTb"/>
            <w:noWrap w:val="false"/>
          </w:tcPr>
          <w:p>
            <w:pPr>
              <w:jc w:val="center"/>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w:t>
            </w:r>
            <w:r>
              <w:rPr>
                <w:rFonts w:hint="eastAsia" w:ascii="宋体" w:hAnsi="宋体" w:cs="宋体"/>
                <w:b/>
                <w:bCs/>
                <w:color w:val="000000" w:themeColor="text1"/>
                <w:sz w:val="24"/>
                <w:highlight w:val="none"/>
                <w:lang w:eastAsia="zh-CN"/>
                <w14:textFill>
                  <w14:solidFill>
                    <w14:schemeClr w14:val="tx1"/>
                  </w14:solidFill>
                </w14:textFill>
              </w:rPr>
              <w:t xml:space="preserve">智能化公厕改造项目（2025年城区公厕改造及维修工程）</w:t>
            </w:r>
            <w:r/>
          </w:p>
        </w:tc>
        <w:tc>
          <w:tcPr>
            <w:tcW w:w="2035" w:type="dxa"/>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详见响应文件</w:t>
            </w:r>
            <w:r/>
          </w:p>
        </w:tc>
        <w:tc>
          <w:tcPr>
            <w:tcW w:w="2180" w:type="dxa"/>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r>
      <w:tr>
        <w:trPr>
          <w:cantSplit/>
          <w:jc w:val="center"/>
          <w:trHeight w:val="850" w:hRule="exact"/>
        </w:trPr>
        <w:tc>
          <w:tcPr>
            <w:tcW w:w="4726" w:type="dxa"/>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总价（大写）：</w:t>
            </w:r>
            <w:r/>
          </w:p>
        </w:tc>
        <w:tc>
          <w:tcPr>
            <w:gridSpan w:val="2"/>
            <w:tcW w:w="4215" w:type="dxa"/>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r>
    </w:tbl>
    <w:p>
      <w:pPr>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供应商承诺：本报价（总价）为供应商本企业提供的施工。</w:t>
      </w:r>
      <w:r/>
    </w:p>
    <w:p>
      <w:pPr>
        <w:spacing w:line="52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报价说明：</w:t>
      </w:r>
      <w:r/>
    </w:p>
    <w:p>
      <w:pPr>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1、报价应包括磋商文件所确定的招标范围内工程量清单所含的全部内容，以及为完成上述内容所需的全部费用。</w:t>
      </w:r>
      <w:r/>
    </w:p>
    <w:p>
      <w:pPr>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2、报价以总价为准，大小写不一致以大写为准；</w:t>
      </w:r>
      <w:r/>
    </w:p>
    <w:p>
      <w:pPr>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3、偏离说明：详见《偏离表》；</w:t>
      </w:r>
      <w:r/>
    </w:p>
    <w:p>
      <w:pPr>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4、如最后报价未列明单价，则最后所报各项单价计算方法为：（最后报价/最初报价）*各项最初报价的单价。</w:t>
      </w:r>
      <w:r/>
    </w:p>
    <w:p>
      <w:pPr>
        <w:spacing w:line="52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right="29" w:firstLine="480"/>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供应商（电子签章）：</w:t>
      </w:r>
      <w:r/>
    </w:p>
    <w:p>
      <w:pPr>
        <w:ind w:right="29" w:firstLine="480"/>
        <w:spacing w:line="520" w:lineRule="exact"/>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ind w:right="29" w:firstLine="480"/>
        <w:spacing w:line="520" w:lineRule="exact"/>
        <w:rPr>
          <w:rFonts w:ascii="宋体" w:hAnsi="宋体" w:cs="宋体"/>
          <w:b/>
          <w:bCs/>
          <w:color w:val="000000" w:themeColor="text1"/>
          <w:sz w:val="24"/>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000000" w:themeColor="text1"/>
          <w:sz w:val="24"/>
          <w:highlight w:val="none"/>
          <w14:textFill>
            <w14:solidFill>
              <w14:schemeClr w14:val="tx1"/>
            </w14:solidFill>
          </w14:textFill>
        </w:rPr>
        <w:t xml:space="preserve">日期：   年  月  日</w:t>
      </w:r>
      <w:r/>
    </w:p>
    <w:p>
      <w:pPr>
        <w:jc w:val="center"/>
        <w:spacing w:line="360" w:lineRule="auto"/>
        <w:rPr>
          <w:rFonts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4、分项价格表</w:t>
      </w:r>
      <w:r/>
    </w:p>
    <w:p>
      <w:pPr>
        <w:jc w:val="center"/>
        <w:rPr>
          <w:rFonts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（具有标价的工程量清单与报价表）</w:t>
      </w:r>
      <w:r/>
    </w:p>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本次为首次报价</w:t>
      </w:r>
      <w:r/>
    </w:p>
    <w:p>
      <w:pPr>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14:textFill>
            <w14:solidFill>
              <w14:schemeClr w14:val="tx1"/>
            </w14:solidFill>
          </w14:textFill>
        </w:rPr>
        <w:t xml:space="preserve">               </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32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按工程量清单报价（电子版，另附），</w:t>
      </w:r>
      <w:r/>
    </w:p>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153"/>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153"/>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153"/>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right="29"/>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  供应商（电子签章）：</w:t>
      </w:r>
      <w:r/>
    </w:p>
    <w:p>
      <w:pPr>
        <w:ind w:right="29"/>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ind w:right="29"/>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日期：  年  月  日</w:t>
      </w:r>
      <w:r/>
    </w:p>
    <w:p>
      <w:pPr>
        <w:rPr>
          <w:rFonts w:ascii="宋体" w:hAnsi="宋体" w:cs="宋体"/>
          <w:color w:val="000000" w:themeColor="text1"/>
          <w:sz w:val="28"/>
          <w:szCs w:val="28"/>
          <w:highlight w:val="none"/>
          <w:u w:val="single"/>
          <w14:textFill>
            <w14:solidFill>
              <w14:schemeClr w14:val="tx1"/>
            </w14:solidFill>
          </w14:textFill>
        </w:rPr>
      </w:pPr>
      <w:r>
        <w:rPr>
          <w:rFonts w:ascii="宋体" w:hAnsi="宋体" w:cs="宋体"/>
          <w:color w:val="000000" w:themeColor="text1"/>
          <w:sz w:val="28"/>
          <w:szCs w:val="28"/>
          <w:highlight w:val="none"/>
          <w:u w:val="singl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注：1、如果按单价计算的结果与总价不一致，以总价为准。</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2、如果不提供详细分项报价将视为没有实质性响应。</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3、供应商对以上数据的真实性负责。</w:t>
      </w:r>
      <w:r/>
    </w:p>
    <w:p>
      <w:pPr>
        <w:rPr>
          <w:rFonts w:ascii="宋体" w:hAnsi="宋体" w:cs="宋体"/>
          <w:b/>
          <w:i/>
          <w:color w:val="000000" w:themeColor="text1"/>
          <w:sz w:val="24"/>
          <w:highlight w:val="none"/>
          <w:u w:val="single"/>
          <w14:textFill>
            <w14:solidFill>
              <w14:schemeClr w14:val="tx1"/>
            </w14:solidFill>
          </w14:textFill>
        </w:rPr>
      </w:pPr>
      <w:r>
        <w:rPr>
          <w:rFonts w:hint="eastAsia" w:ascii="宋体" w:hAnsi="宋体" w:cs="宋体"/>
          <w:b/>
          <w:i/>
          <w:color w:val="000000" w:themeColor="text1"/>
          <w:sz w:val="24"/>
          <w:highlight w:val="none"/>
          <w:u w:val="single"/>
          <w14:textFill>
            <w14:solidFill>
              <w14:schemeClr w14:val="tx1"/>
            </w14:solidFill>
          </w14:textFill>
        </w:rPr>
        <w:t xml:space="preserve">采购人或采购代理机构有权将以上内容进行公示。</w:t>
      </w:r>
      <w:r/>
    </w:p>
    <w:p>
      <w:pPr>
        <w:jc w:val="center"/>
        <w:rPr>
          <w:rFonts w:ascii="宋体" w:hAnsi="宋体" w:cs="宋体"/>
          <w:b/>
          <w:bCs/>
          <w:color w:val="000000" w:themeColor="text1"/>
          <w:sz w:val="36"/>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000000" w:themeColor="text1"/>
          <w:sz w:val="36"/>
          <w:highlight w:val="none"/>
          <w14:textFill>
            <w14:solidFill>
              <w14:schemeClr w14:val="tx1"/>
            </w14:solidFill>
          </w14:textFill>
        </w:rPr>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5、主要材料（设备）一览表</w:t>
      </w:r>
      <w:r/>
    </w:p>
    <w:p>
      <w:p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项目编号：</w:t>
      </w:r>
      <w:r/>
    </w:p>
    <w:p>
      <w:p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项目名称：</w:t>
      </w:r>
      <w:r/>
    </w:p>
    <w:tbl>
      <w:tblPr>
        <w:tblStyle w:val="1132"/>
        <w:tblW w:w="4998" w:type="pct"/>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36"/>
        <w:gridCol w:w="1784"/>
        <w:gridCol w:w="817"/>
        <w:gridCol w:w="1831"/>
        <w:gridCol w:w="1759"/>
        <w:gridCol w:w="965"/>
        <w:gridCol w:w="1690"/>
      </w:tblGrid>
      <w:tr>
        <w:trPr>
          <w:trHeight w:val="850" w:hRule="exact"/>
        </w:trPr>
        <w:tc>
          <w:tcPr>
            <w:tcMar>
              <w:left w:w="15" w:type="dxa"/>
              <w:top w:w="15" w:type="dxa"/>
              <w:right w:w="15" w:type="dxa"/>
              <w:bottom w:w="0" w:type="dxa"/>
            </w:tcMar>
            <w:tcW w:w="286" w:type="pct"/>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tcMar>
              <w:left w:w="15" w:type="dxa"/>
              <w:top w:w="15" w:type="dxa"/>
              <w:right w:w="15" w:type="dxa"/>
              <w:bottom w:w="0" w:type="dxa"/>
            </w:tcMar>
            <w:tcW w:w="950" w:type="pct"/>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材料（设备）名称</w:t>
            </w:r>
            <w:r/>
          </w:p>
        </w:tc>
        <w:tc>
          <w:tcPr>
            <w:tcMar>
              <w:left w:w="15" w:type="dxa"/>
              <w:top w:w="15" w:type="dxa"/>
              <w:right w:w="15" w:type="dxa"/>
              <w:bottom w:w="0" w:type="dxa"/>
            </w:tcMar>
            <w:tcW w:w="435" w:type="pct"/>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品牌</w:t>
            </w:r>
            <w:r/>
          </w:p>
        </w:tc>
        <w:tc>
          <w:tcPr>
            <w:tcMar>
              <w:left w:w="15" w:type="dxa"/>
              <w:top w:w="15" w:type="dxa"/>
              <w:right w:w="15" w:type="dxa"/>
              <w:bottom w:w="0" w:type="dxa"/>
            </w:tcMar>
            <w:tcW w:w="975" w:type="pct"/>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规格、型号</w:t>
            </w:r>
            <w:r/>
          </w:p>
        </w:tc>
        <w:tc>
          <w:tcPr>
            <w:tcMar>
              <w:left w:w="15" w:type="dxa"/>
              <w:top w:w="15" w:type="dxa"/>
              <w:right w:w="15" w:type="dxa"/>
              <w:bottom w:w="0" w:type="dxa"/>
            </w:tcMar>
            <w:tcW w:w="937" w:type="pct"/>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产品制造企业名称</w:t>
            </w:r>
            <w:r/>
          </w:p>
        </w:tc>
        <w:tc>
          <w:tcPr>
            <w:tcMar>
              <w:left w:w="15" w:type="dxa"/>
              <w:top w:w="15" w:type="dxa"/>
              <w:right w:w="15" w:type="dxa"/>
              <w:bottom w:w="0" w:type="dxa"/>
            </w:tcMar>
            <w:tcW w:w="514" w:type="pct"/>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单位</w:t>
            </w:r>
            <w:r/>
          </w:p>
        </w:tc>
        <w:tc>
          <w:tcPr>
            <w:tcMar>
              <w:left w:w="15" w:type="dxa"/>
              <w:top w:w="15" w:type="dxa"/>
              <w:right w:w="15" w:type="dxa"/>
              <w:bottom w:w="0" w:type="dxa"/>
            </w:tcMar>
            <w:tcW w:w="900" w:type="pct"/>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备注</w:t>
            </w:r>
            <w:r/>
          </w:p>
        </w:tc>
      </w:tr>
      <w:tr>
        <w:trPr>
          <w:trHeight w:val="680" w:hRule="exact"/>
        </w:trPr>
        <w:tc>
          <w:tcPr>
            <w:tcMar>
              <w:left w:w="15" w:type="dxa"/>
              <w:top w:w="15" w:type="dxa"/>
              <w:right w:w="15" w:type="dxa"/>
              <w:bottom w:w="0" w:type="dxa"/>
            </w:tcMar>
            <w:tcW w:w="286" w:type="pct"/>
            <w:vAlign w:val="center"/>
            <w:textDirection w:val="lrTb"/>
            <w:noWrap w:val="false"/>
          </w:tcPr>
          <w:p>
            <w:pPr>
              <w:jc w:val="center"/>
              <w:tabs>
                <w:tab w:val="left" w:pos="42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Mar>
              <w:left w:w="15" w:type="dxa"/>
              <w:top w:w="15" w:type="dxa"/>
              <w:right w:w="15" w:type="dxa"/>
              <w:bottom w:w="0" w:type="dxa"/>
            </w:tcMar>
            <w:tcW w:w="95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43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7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286" w:type="pct"/>
            <w:vAlign w:val="center"/>
            <w:textDirection w:val="lrTb"/>
            <w:noWrap w:val="false"/>
          </w:tcPr>
          <w:p>
            <w:pPr>
              <w:ind w:left="425" w:hanging="425"/>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Mar>
              <w:left w:w="15" w:type="dxa"/>
              <w:top w:w="15" w:type="dxa"/>
              <w:right w:w="15" w:type="dxa"/>
              <w:bottom w:w="0" w:type="dxa"/>
            </w:tcMar>
            <w:tcW w:w="95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43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7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286" w:type="pct"/>
            <w:vAlign w:val="center"/>
            <w:textDirection w:val="lrTb"/>
            <w:noWrap w:val="false"/>
          </w:tcPr>
          <w:p>
            <w:pPr>
              <w:ind w:left="425" w:hanging="425"/>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Mar>
              <w:left w:w="15" w:type="dxa"/>
              <w:top w:w="15" w:type="dxa"/>
              <w:right w:w="15" w:type="dxa"/>
              <w:bottom w:w="0" w:type="dxa"/>
            </w:tcMar>
            <w:tcW w:w="95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43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7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286" w:type="pct"/>
            <w:vAlign w:val="center"/>
            <w:textDirection w:val="lrTb"/>
            <w:noWrap w:val="false"/>
          </w:tcPr>
          <w:p>
            <w:pPr>
              <w:ind w:left="425" w:hanging="425"/>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Mar>
              <w:left w:w="15" w:type="dxa"/>
              <w:top w:w="15" w:type="dxa"/>
              <w:right w:w="15" w:type="dxa"/>
              <w:bottom w:w="0" w:type="dxa"/>
            </w:tcMar>
            <w:tcW w:w="95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43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7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286" w:type="pct"/>
            <w:vAlign w:val="center"/>
            <w:textDirection w:val="lrTb"/>
            <w:noWrap w:val="false"/>
          </w:tcPr>
          <w:p>
            <w:pPr>
              <w:ind w:left="425" w:hanging="425"/>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Mar>
              <w:left w:w="15" w:type="dxa"/>
              <w:top w:w="15" w:type="dxa"/>
              <w:right w:w="15" w:type="dxa"/>
              <w:bottom w:w="0" w:type="dxa"/>
            </w:tcMar>
            <w:tcW w:w="95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43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7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286" w:type="pct"/>
            <w:vAlign w:val="center"/>
            <w:textDirection w:val="lrTb"/>
            <w:noWrap w:val="false"/>
          </w:tcPr>
          <w:p>
            <w:pPr>
              <w:ind w:left="425" w:hanging="425"/>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Mar>
              <w:left w:w="15" w:type="dxa"/>
              <w:top w:w="15" w:type="dxa"/>
              <w:right w:w="15" w:type="dxa"/>
              <w:bottom w:w="0" w:type="dxa"/>
            </w:tcMar>
            <w:tcW w:w="95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43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7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286" w:type="pct"/>
            <w:vAlign w:val="center"/>
            <w:textDirection w:val="lrTb"/>
            <w:noWrap w:val="false"/>
          </w:tcPr>
          <w:p>
            <w:pPr>
              <w:ind w:left="425" w:hanging="425"/>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Mar>
              <w:left w:w="15" w:type="dxa"/>
              <w:top w:w="15" w:type="dxa"/>
              <w:right w:w="15" w:type="dxa"/>
              <w:bottom w:w="0" w:type="dxa"/>
            </w:tcMar>
            <w:tcW w:w="95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43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7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286" w:type="pct"/>
            <w:vAlign w:val="center"/>
            <w:textDirection w:val="lrTb"/>
            <w:noWrap w:val="false"/>
          </w:tcPr>
          <w:p>
            <w:pPr>
              <w:ind w:left="425" w:hanging="425"/>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Mar>
              <w:left w:w="15" w:type="dxa"/>
              <w:top w:w="15" w:type="dxa"/>
              <w:right w:w="15" w:type="dxa"/>
              <w:bottom w:w="0" w:type="dxa"/>
            </w:tcMar>
            <w:tcW w:w="95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43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7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286" w:type="pct"/>
            <w:vAlign w:val="center"/>
            <w:textDirection w:val="lrTb"/>
            <w:noWrap w:val="false"/>
          </w:tcPr>
          <w:p>
            <w:pPr>
              <w:ind w:left="425" w:hanging="425"/>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Mar>
              <w:left w:w="15" w:type="dxa"/>
              <w:top w:w="15" w:type="dxa"/>
              <w:right w:w="15" w:type="dxa"/>
              <w:bottom w:w="0" w:type="dxa"/>
            </w:tcMar>
            <w:tcW w:w="95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43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7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286" w:type="pct"/>
            <w:vAlign w:val="center"/>
            <w:textDirection w:val="lrTb"/>
            <w:noWrap w:val="false"/>
          </w:tcPr>
          <w:p>
            <w:pPr>
              <w:ind w:left="425" w:hanging="425"/>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Mar>
              <w:left w:w="15" w:type="dxa"/>
              <w:top w:w="15" w:type="dxa"/>
              <w:right w:w="15" w:type="dxa"/>
              <w:bottom w:w="0" w:type="dxa"/>
            </w:tcMar>
            <w:tcW w:w="95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43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75"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供应商（公章）：</w:t>
      </w:r>
      <w:r/>
    </w:p>
    <w:p>
      <w:pPr>
        <w:spacing w:line="520" w:lineRule="exact"/>
        <w:rPr>
          <w:rFonts w:ascii="宋体" w:hAnsi="宋体" w:cs="宋体"/>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日期： 年  月  日</w:t>
      </w:r>
      <w:r/>
    </w:p>
    <w:p>
      <w:pPr>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w:t>
      </w:r>
      <w:r/>
    </w:p>
    <w:p>
      <w:pPr>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1、如果不提供《主要材料（设备）一览表》将视为没有实质性响应。</w:t>
      </w:r>
      <w:r/>
    </w:p>
    <w:p>
      <w:pPr>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2、响应供应商对以上数据的真实性负责。</w:t>
      </w:r>
      <w:r/>
    </w:p>
    <w:p>
      <w:pPr>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采购人或采购代理机构有权将以上内容进行公示。</w:t>
      </w:r>
      <w:r/>
    </w:p>
    <w:p>
      <w:pPr>
        <w:jc w:val="center"/>
        <w:rPr>
          <w:rFonts w:ascii="宋体" w:hAnsi="宋体" w:cs="宋体"/>
          <w:b/>
          <w:bCs/>
          <w:color w:val="000000" w:themeColor="text1"/>
          <w:sz w:val="36"/>
          <w:highlight w:val="none"/>
          <w14:textFill>
            <w14:solidFill>
              <w14:schemeClr w14:val="tx1"/>
            </w14:solidFill>
          </w14:textFill>
        </w:rPr>
        <w:sectPr>
          <w:headerReference w:type="default" r:id="rId11"/>
          <w:footerReference w:type="default" r:id="rId19"/>
          <w:footerReference w:type="first" r:id="rId20"/>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b/>
          <w:bCs/>
          <w:color w:val="000000" w:themeColor="text1"/>
          <w:sz w:val="36"/>
          <w:highlight w:val="none"/>
          <w14:textFill>
            <w14:solidFill>
              <w14:schemeClr w14:val="tx1"/>
            </w14:solidFill>
          </w14:textFill>
        </w:rPr>
      </w:r>
      <w:r/>
    </w:p>
    <w:p>
      <w:pPr>
        <w:jc w:val="center"/>
        <w:spacing w:line="360" w:lineRule="auto"/>
        <w:rPr>
          <w:rFonts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6、偏离表</w:t>
      </w:r>
      <w:r/>
    </w:p>
    <w:p>
      <w:p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项目编号：</w:t>
      </w:r>
      <w:r/>
    </w:p>
    <w:p>
      <w:p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项目名称：</w:t>
      </w:r>
      <w:r/>
    </w:p>
    <w:tbl>
      <w:tblPr>
        <w:tblStyle w:val="1132"/>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序号</w:t>
            </w:r>
            <w:r/>
          </w:p>
        </w:tc>
        <w:tc>
          <w:tcPr>
            <w:tcW w:w="1220"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偏离内容</w:t>
            </w:r>
            <w:r/>
          </w:p>
        </w:tc>
        <w:tc>
          <w:tcPr>
            <w:tcW w:w="2415"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首次响应文件中的内容</w:t>
            </w:r>
            <w:r/>
          </w:p>
        </w:tc>
        <w:tc>
          <w:tcPr>
            <w:tcW w:w="1351"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（正/负/无）偏离</w:t>
            </w:r>
            <w:r/>
          </w:p>
        </w:tc>
        <w:tc>
          <w:tcPr>
            <w:tcW w:w="2123"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说明</w:t>
            </w:r>
            <w:r/>
          </w:p>
        </w:tc>
      </w:tr>
      <w:tr>
        <w:trPr>
          <w:jc w:val="center"/>
          <w:trHeight w:val="794"/>
        </w:trPr>
        <w:tc>
          <w:tcPr>
            <w:tcW w:w="888"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ascii="宋体" w:hAnsi="宋体" w:cs="宋体"/>
                <w:caps/>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ascii="宋体" w:hAnsi="宋体" w:cs="宋体"/>
                <w:caps/>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ascii="宋体" w:hAnsi="宋体" w:cs="宋体"/>
                <w:caps/>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ascii="宋体" w:hAnsi="宋体" w:cs="宋体"/>
                <w:caps/>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ascii="宋体" w:hAnsi="宋体" w:cs="宋体"/>
                <w:caps/>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ascii="宋体" w:hAnsi="宋体" w:cs="宋体"/>
                <w:caps/>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ind w:right="29"/>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供应商（电子签章）：</w:t>
      </w:r>
      <w:r/>
    </w:p>
    <w:p>
      <w:pPr>
        <w:ind w:right="29"/>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日期：  年  月  日</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widowControl w:val="off"/>
        <w:rPr>
          <w:rFonts w:hint="default" w:ascii="Times New Roman" w:hAnsi="Times New Roman" w:eastAsia="华文中宋" w:cs="Times New Roman"/>
          <w:b/>
          <w:color w:val="000000" w:themeColor="text1"/>
          <w:sz w:val="52"/>
          <w:szCs w:val="52"/>
          <w:highlight w:val="none"/>
          <w:lang w:val="en-US" w:eastAsia="zh-CN" w:bidi="ar-SA"/>
          <w14:textFill>
            <w14:solidFill>
              <w14:schemeClr w14:val="tx1"/>
            </w14:solidFill>
          </w14:textFill>
        </w:rPr>
      </w:pPr>
      <w:r>
        <w:rPr>
          <w:rFonts w:hint="eastAsia" w:ascii="Calibri" w:hAnsi="宋体" w:eastAsia="宋体" w:cs="宋体"/>
          <w:b/>
          <w:color w:val="000000" w:themeColor="text1"/>
          <w:sz w:val="36"/>
          <w:szCs w:val="22"/>
          <w:highlight w:val="none"/>
          <w:lang w:val="en-US" w:eastAsia="zh-CN" w:bidi="ar-SA"/>
          <w14:textFill>
            <w14:solidFill>
              <w14:schemeClr w14:val="tx1"/>
            </w14:solidFill>
          </w14:textFill>
        </w:rPr>
        <w:br w:type="page" w:clear="all"/>
      </w:r>
      <w:r>
        <w:rPr>
          <w:rFonts w:hint="eastAsia" w:ascii="Calibri" w:hAnsi="宋体" w:eastAsia="宋体" w:cs="宋体"/>
          <w:b/>
          <w:bCs/>
          <w:color w:val="000000" w:themeColor="text1"/>
          <w:sz w:val="36"/>
          <w:szCs w:val="36"/>
          <w:highlight w:val="none"/>
          <w:lang w:val="en-US" w:eastAsia="zh-CN" w:bidi="ar-SA"/>
          <w14:textFill>
            <w14:solidFill>
              <w14:schemeClr w14:val="tx1"/>
            </w14:solidFill>
          </w14:textFill>
        </w:rPr>
        <w:t xml:space="preserve">7、</w:t>
      </w:r>
      <w:bookmarkStart w:id="3" w:name="_Toc358476596"/>
      <w:r/>
      <w:r/>
    </w:p>
    <w:p>
      <w:pPr>
        <w:jc w:val="center"/>
        <w:widowControl w:val="off"/>
        <w:rPr>
          <w:rFonts w:hint="default" w:ascii="Times New Roman" w:hAnsi="Times New Roman" w:eastAsia="华文中宋" w:cs="Times New Roman"/>
          <w:b/>
          <w:color w:val="000000" w:themeColor="text1"/>
          <w:sz w:val="52"/>
          <w:szCs w:val="52"/>
          <w:highlight w:val="none"/>
          <w:lang w:val="en-US" w:eastAsia="zh-CN" w:bidi="ar-SA"/>
          <w14:textFill>
            <w14:solidFill>
              <w14:schemeClr w14:val="tx1"/>
            </w14:solidFill>
          </w14:textFill>
        </w:rPr>
      </w:pPr>
      <w:r>
        <w:rPr>
          <w:rFonts w:hint="default" w:ascii="Times New Roman" w:hAnsi="Times New Roman" w:eastAsia="华文中宋" w:cs="Times New Roman"/>
          <w:b/>
          <w:color w:val="000000" w:themeColor="text1"/>
          <w:sz w:val="52"/>
          <w:szCs w:val="52"/>
          <w:highlight w:val="none"/>
          <w:lang w:val="en-US" w:eastAsia="zh-CN" w:bidi="ar-SA"/>
          <w14:textFill>
            <w14:solidFill>
              <w14:schemeClr w14:val="tx1"/>
            </w14:solidFill>
          </w14:textFill>
        </w:rPr>
      </w:r>
      <w:r/>
    </w:p>
    <w:p>
      <w:pPr>
        <w:jc w:val="center"/>
        <w:widowControl w:val="off"/>
        <w:rPr>
          <w:rFonts w:hint="default" w:ascii="Times New Roman" w:hAnsi="Times New Roman" w:eastAsia="华文中宋" w:cs="Times New Roman"/>
          <w:b/>
          <w:color w:val="000000" w:themeColor="text1"/>
          <w:sz w:val="52"/>
          <w:szCs w:val="52"/>
          <w:highlight w:val="none"/>
          <w:lang w:val="en-US" w:eastAsia="zh-CN" w:bidi="ar-SA"/>
          <w14:textFill>
            <w14:solidFill>
              <w14:schemeClr w14:val="tx1"/>
            </w14:solidFill>
          </w14:textFill>
        </w:rPr>
      </w:pPr>
      <w:r>
        <w:rPr>
          <w:rFonts w:hint="default" w:ascii="Times New Roman" w:hAnsi="Times New Roman" w:eastAsia="华文中宋" w:cs="Times New Roman"/>
          <w:b/>
          <w:color w:val="000000" w:themeColor="text1"/>
          <w:sz w:val="52"/>
          <w:szCs w:val="52"/>
          <w:highlight w:val="none"/>
          <w:lang w:val="en-US" w:eastAsia="zh-CN" w:bidi="ar-SA"/>
          <w14:textFill>
            <w14:solidFill>
              <w14:schemeClr w14:val="tx1"/>
            </w14:solidFill>
          </w14:textFill>
        </w:rPr>
      </w:r>
      <w:r/>
    </w:p>
    <w:p>
      <w:pPr>
        <w:jc w:val="center"/>
        <w:widowControl w:val="off"/>
        <w:rPr>
          <w:rFonts w:hint="eastAsia" w:ascii="Times New Roman" w:hAnsi="Times New Roman" w:eastAsia="华文中宋" w:cs="Times New Roman"/>
          <w:b/>
          <w:color w:val="000000" w:themeColor="text1"/>
          <w:sz w:val="72"/>
          <w:szCs w:val="52"/>
          <w:highlight w:val="none"/>
          <w:lang w:val="en-US" w:eastAsia="zh-CN" w:bidi="ar-SA"/>
          <w14:textFill>
            <w14:solidFill>
              <w14:schemeClr w14:val="tx1"/>
            </w14:solidFill>
          </w14:textFill>
        </w:rPr>
      </w:pPr>
      <w:r>
        <w:rPr>
          <w:rFonts w:hint="default" w:ascii="Times New Roman" w:hAnsi="Times New Roman" w:eastAsia="华文中宋" w:cs="Times New Roman"/>
          <w:b/>
          <w:color w:val="000000" w:themeColor="text1"/>
          <w:sz w:val="72"/>
          <w:szCs w:val="52"/>
          <w:highlight w:val="none"/>
          <w:lang w:val="en-US" w:eastAsia="zh-CN" w:bidi="ar-SA"/>
          <w14:textFill>
            <w14:solidFill>
              <w14:schemeClr w14:val="tx1"/>
            </w14:solidFill>
          </w14:textFill>
        </w:rPr>
        <w:t xml:space="preserve">建设工程施工合同</w:t>
      </w:r>
      <w:r/>
    </w:p>
    <w:p>
      <w:pPr>
        <w:jc w:val="center"/>
        <w:widowControl w:val="off"/>
        <w:rPr>
          <w:rFonts w:hint="default" w:ascii="Times New Roman" w:hAnsi="Times New Roman" w:eastAsia="华文中宋" w:cs="Times New Roman"/>
          <w:b/>
          <w:color w:val="0000ff"/>
          <w:sz w:val="21"/>
          <w:szCs w:val="21"/>
          <w:highlight w:val="none"/>
          <w:lang w:val="en-US" w:eastAsia="zh-CN" w:bidi="ar-SA"/>
        </w:rPr>
      </w:pPr>
      <w:r>
        <w:rPr>
          <w:rFonts w:hint="default" w:ascii="Times New Roman" w:hAnsi="Times New Roman" w:eastAsia="华文中宋" w:cs="Times New Roman"/>
          <w:b/>
          <w:color w:val="0000ff"/>
          <w:sz w:val="21"/>
          <w:szCs w:val="21"/>
          <w:highlight w:val="none"/>
          <w:lang w:val="en-US" w:eastAsia="zh-CN" w:bidi="ar-SA"/>
        </w:rPr>
        <w:t xml:space="preserve">（示范文本</w:t>
      </w:r>
      <w:r>
        <w:rPr>
          <w:rFonts w:hint="eastAsia" w:ascii="Times New Roman" w:hAnsi="Times New Roman" w:eastAsia="华文中宋" w:cs="Times New Roman"/>
          <w:b/>
          <w:color w:val="0000ff"/>
          <w:sz w:val="21"/>
          <w:szCs w:val="21"/>
          <w:highlight w:val="none"/>
          <w:lang w:val="en-US" w:eastAsia="zh-CN" w:bidi="ar-SA"/>
        </w:rPr>
        <w:t xml:space="preserve">仅供参考，以双方实际签订合同为准</w:t>
      </w:r>
      <w:r>
        <w:rPr>
          <w:rFonts w:hint="default" w:ascii="Times New Roman" w:hAnsi="Times New Roman" w:eastAsia="华文中宋" w:cs="Times New Roman"/>
          <w:b/>
          <w:color w:val="0000ff"/>
          <w:sz w:val="21"/>
          <w:szCs w:val="21"/>
          <w:highlight w:val="none"/>
          <w:lang w:val="en-US" w:eastAsia="zh-CN" w:bidi="ar-SA"/>
        </w:rPr>
        <w:t xml:space="preserve">）</w:t>
      </w:r>
      <w:r/>
    </w:p>
    <w:p>
      <w:pPr>
        <w:jc w:val="center"/>
        <w:widowControl w:val="off"/>
        <w:rPr>
          <w:rFonts w:hint="default" w:ascii="Times New Roman" w:hAnsi="Times New Roman" w:eastAsia="仿宋_GB2312" w:cs="Times New Roman"/>
          <w:bCs/>
          <w:color w:val="000000" w:themeColor="text1"/>
          <w:sz w:val="32"/>
          <w:szCs w:val="32"/>
          <w:highlight w:val="none"/>
          <w:lang w:val="en-US" w:eastAsia="zh-CN" w:bidi="ar-SA"/>
          <w14:textFill>
            <w14:solidFill>
              <w14:schemeClr w14:val="tx1"/>
            </w14:solidFill>
          </w14:textFill>
        </w:rPr>
      </w:pPr>
      <w:r>
        <w:rPr>
          <w:rFonts w:hint="default" w:ascii="Times New Roman" w:hAnsi="Times New Roman" w:eastAsia="仿宋_GB2312" w:cs="Times New Roman"/>
          <w:bCs/>
          <w:color w:val="000000" w:themeColor="text1"/>
          <w:sz w:val="32"/>
          <w:szCs w:val="32"/>
          <w:highlight w:val="none"/>
          <w:lang w:val="en-US" w:eastAsia="zh-CN" w:bidi="ar-SA"/>
          <w14:textFill>
            <w14:solidFill>
              <w14:schemeClr w14:val="tx1"/>
            </w14:solidFill>
          </w14:textFill>
        </w:rPr>
        <w:t xml:space="preserve">（GF—2017—</w:t>
      </w:r>
      <w:r>
        <w:rPr>
          <w:rFonts w:hint="eastAsia" w:ascii="Times New Roman" w:hAnsi="Times New Roman" w:eastAsia="仿宋_GB2312" w:cs="Times New Roman"/>
          <w:bCs/>
          <w:color w:val="000000" w:themeColor="text1"/>
          <w:sz w:val="32"/>
          <w:szCs w:val="32"/>
          <w:highlight w:val="none"/>
          <w:lang w:val="en-US" w:eastAsia="zh-CN" w:bidi="ar-SA"/>
          <w14:textFill>
            <w14:solidFill>
              <w14:schemeClr w14:val="tx1"/>
            </w14:solidFill>
          </w14:textFill>
        </w:rPr>
        <w:t xml:space="preserve">0201）</w:t>
      </w:r>
      <w:r/>
    </w:p>
    <w:p>
      <w:pPr>
        <w:jc w:val="center"/>
        <w:widowControl w:val="off"/>
        <w:rPr>
          <w:rFonts w:hint="default" w:ascii="Times New Roman" w:hAnsi="Times New Roman" w:eastAsia="华文中宋" w:cs="Times New Roman"/>
          <w:b/>
          <w:color w:val="000000" w:themeColor="text1"/>
          <w:sz w:val="52"/>
          <w:szCs w:val="52"/>
          <w:highlight w:val="none"/>
          <w:lang w:val="en-US" w:eastAsia="zh-CN" w:bidi="ar-SA"/>
          <w14:textFill>
            <w14:solidFill>
              <w14:schemeClr w14:val="tx1"/>
            </w14:solidFill>
          </w14:textFill>
        </w:rPr>
      </w:pPr>
      <w:r>
        <w:rPr>
          <w:rFonts w:hint="default" w:ascii="Times New Roman" w:hAnsi="Times New Roman" w:eastAsia="华文中宋" w:cs="Times New Roman"/>
          <w:b/>
          <w:color w:val="000000" w:themeColor="text1"/>
          <w:sz w:val="52"/>
          <w:szCs w:val="52"/>
          <w:highlight w:val="none"/>
          <w:lang w:val="en-US" w:eastAsia="zh-CN" w:bidi="ar-SA"/>
          <w14:textFill>
            <w14:solidFill>
              <w14:schemeClr w14:val="tx1"/>
            </w14:solidFill>
          </w14:textFill>
        </w:rPr>
      </w:r>
      <w:r/>
    </w:p>
    <w:p>
      <w:pPr>
        <w:jc w:val="center"/>
        <w:widowControl w:val="off"/>
        <w:rPr>
          <w:rFonts w:hint="default" w:ascii="Times New Roman" w:hAnsi="Times New Roman" w:eastAsia="黑体" w:cs="Times New Roman"/>
          <w:b/>
          <w:color w:val="000000" w:themeColor="text1"/>
          <w:sz w:val="72"/>
          <w:szCs w:val="72"/>
          <w:highlight w:val="none"/>
          <w:lang w:val="en-US" w:eastAsia="zh-CN" w:bidi="ar-SA"/>
          <w14:textFill>
            <w14:solidFill>
              <w14:schemeClr w14:val="tx1"/>
            </w14:solidFill>
          </w14:textFill>
        </w:rPr>
      </w:pPr>
      <w:r>
        <w:rPr>
          <w:rFonts w:hint="default" w:ascii="Times New Roman" w:hAnsi="Times New Roman" w:eastAsia="黑体" w:cs="Times New Roman"/>
          <w:b/>
          <w:color w:val="000000" w:themeColor="text1"/>
          <w:sz w:val="72"/>
          <w:szCs w:val="72"/>
          <w:highlight w:val="none"/>
          <w:lang w:val="en-US" w:eastAsia="zh-CN" w:bidi="ar-SA"/>
          <w14:textFill>
            <w14:solidFill>
              <w14:schemeClr w14:val="tx1"/>
            </w14:solidFill>
          </w14:textFill>
        </w:rPr>
      </w:r>
      <w:r/>
    </w:p>
    <w:p>
      <w:pPr>
        <w:jc w:val="center"/>
        <w:widowControl w:val="off"/>
        <w:rPr>
          <w:rFonts w:hint="default" w:ascii="Times New Roman" w:hAnsi="Times New Roman" w:eastAsia="楷体_GB2312" w:cs="Times New Roman"/>
          <w:b/>
          <w:color w:val="000000" w:themeColor="text1"/>
          <w:sz w:val="72"/>
          <w:szCs w:val="72"/>
          <w:highlight w:val="none"/>
          <w:lang w:val="en-US" w:eastAsia="zh-CN" w:bidi="ar-SA"/>
          <w14:textFill>
            <w14:solidFill>
              <w14:schemeClr w14:val="tx1"/>
            </w14:solidFill>
          </w14:textFill>
        </w:rPr>
      </w:pPr>
      <w:r>
        <w:rPr>
          <w:rFonts w:hint="default" w:ascii="Times New Roman" w:hAnsi="Times New Roman" w:eastAsia="楷体_GB2312" w:cs="Times New Roman"/>
          <w:b/>
          <w:color w:val="000000" w:themeColor="text1"/>
          <w:sz w:val="72"/>
          <w:szCs w:val="72"/>
          <w:highlight w:val="none"/>
          <w:lang w:val="en-US" w:eastAsia="zh-CN" w:bidi="ar-SA"/>
          <w14:textFill>
            <w14:solidFill>
              <w14:schemeClr w14:val="tx1"/>
            </w14:solidFill>
          </w14:textFill>
        </w:rPr>
      </w:r>
      <w:r/>
    </w:p>
    <w:p>
      <w:pPr>
        <w:jc w:val="center"/>
        <w:widowControl w:val="off"/>
        <w:rPr>
          <w:rFonts w:hint="default" w:ascii="Times New Roman" w:hAnsi="Times New Roman" w:eastAsia="黑体" w:cs="Times New Roman"/>
          <w:b/>
          <w:color w:val="000000" w:themeColor="text1"/>
          <w:sz w:val="52"/>
          <w:szCs w:val="52"/>
          <w:highlight w:val="none"/>
          <w:lang w:val="en-US" w:eastAsia="zh-CN" w:bidi="ar-SA"/>
          <w14:textFill>
            <w14:solidFill>
              <w14:schemeClr w14:val="tx1"/>
            </w14:solidFill>
          </w14:textFill>
        </w:rPr>
      </w:pPr>
      <w:r>
        <w:rPr>
          <w:rFonts w:hint="default" w:ascii="Times New Roman" w:hAnsi="Times New Roman" w:eastAsia="黑体" w:cs="Times New Roman"/>
          <w:b/>
          <w:color w:val="000000" w:themeColor="text1"/>
          <w:sz w:val="52"/>
          <w:szCs w:val="52"/>
          <w:highlight w:val="none"/>
          <w:lang w:val="en-US" w:eastAsia="zh-CN" w:bidi="ar-SA"/>
          <w14:textFill>
            <w14:solidFill>
              <w14:schemeClr w14:val="tx1"/>
            </w14:solidFill>
          </w14:textFill>
        </w:rPr>
      </w:r>
      <w:r/>
    </w:p>
    <w:p>
      <w:pPr>
        <w:jc w:val="both"/>
        <w:widowControl w:val="off"/>
        <w:rPr>
          <w:rFonts w:hint="default" w:ascii="Times New Roman" w:hAnsi="Times New Roman" w:eastAsia="宋体" w:cs="Times New Roman"/>
          <w:b/>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b/>
          <w:color w:val="000000" w:themeColor="text1"/>
          <w:sz w:val="28"/>
          <w:szCs w:val="28"/>
          <w:highlight w:val="none"/>
          <w:lang w:val="en-US" w:eastAsia="zh-CN" w:bidi="ar-SA"/>
          <w14:textFill>
            <w14:solidFill>
              <w14:schemeClr w14:val="tx1"/>
            </w14:solidFill>
          </w14:textFill>
        </w:rPr>
      </w:r>
      <w:r/>
    </w:p>
    <w:p>
      <w:pPr>
        <w:jc w:val="both"/>
        <w:widowControl w:val="off"/>
        <w:rPr>
          <w:rFonts w:hint="default" w:ascii="Times New Roman" w:hAnsi="Times New Roman" w:eastAsia="宋体" w:cs="Times New Roman"/>
          <w:b/>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b/>
          <w:color w:val="000000" w:themeColor="text1"/>
          <w:sz w:val="28"/>
          <w:szCs w:val="28"/>
          <w:highlight w:val="none"/>
          <w:lang w:val="en-US" w:eastAsia="zh-CN" w:bidi="ar-SA"/>
          <w14:textFill>
            <w14:solidFill>
              <w14:schemeClr w14:val="tx1"/>
            </w14:solidFill>
          </w14:textFill>
        </w:rPr>
      </w:r>
      <w:r/>
    </w:p>
    <w:p>
      <w:pPr>
        <w:jc w:val="both"/>
        <w:widowControl w:val="off"/>
        <w:rPr>
          <w:rFonts w:hint="default" w:ascii="Times New Roman" w:hAnsi="Times New Roman" w:eastAsia="宋体" w:cs="Times New Roman"/>
          <w:b/>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b/>
          <w:color w:val="000000" w:themeColor="text1"/>
          <w:sz w:val="28"/>
          <w:szCs w:val="28"/>
          <w:highlight w:val="none"/>
          <w:lang w:val="en-US" w:eastAsia="zh-CN" w:bidi="ar-SA"/>
          <w14:textFill>
            <w14:solidFill>
              <w14:schemeClr w14:val="tx1"/>
            </w14:solidFill>
          </w14:textFill>
        </w:rPr>
      </w:r>
      <w:r/>
    </w:p>
    <w:p>
      <w:pPr>
        <w:ind w:firstLine="422"/>
        <w:jc w:val="center"/>
        <w:keepLines/>
        <w:keepNext/>
        <w:pageBreakBefore w:val="0"/>
        <w:spacing w:line="420" w:lineRule="exact"/>
        <w:widowControl w:val="off"/>
        <w:rPr>
          <w:rFonts w:ascii="Times New Roman" w:hAnsi="Times New Roman" w:eastAsia="华文中宋" w:cs="Times New Roman"/>
          <w:b w:val="0"/>
          <w:bCs/>
          <w:sz w:val="32"/>
          <w:szCs w:val="44"/>
          <w:lang w:val="en-US" w:eastAsia="zh-CN" w:bidi="ar-SA"/>
        </w:rPr>
        <w:outlineLvl w:val="2"/>
      </w:pPr>
      <w:r>
        <w:rPr>
          <w:rFonts w:hint="default" w:ascii="Calibri" w:hAnsi="Calibri" w:eastAsia="黑体" w:cs="Times New Roman"/>
          <w:b/>
          <w:bCs/>
          <w:color w:val="000000" w:themeColor="text1"/>
          <w:sz w:val="21"/>
          <w:szCs w:val="32"/>
          <w:highlight w:val="none"/>
          <w:lang w:val="en-US" w:eastAsia="zh-CN" w:bidi="ar-SA"/>
          <w14:textFill>
            <w14:solidFill>
              <w14:schemeClr w14:val="tx1"/>
            </w14:solidFill>
          </w14:textFill>
        </w:rPr>
        <w:br w:type="page" w:clear="all"/>
      </w:r>
      <w:bookmarkEnd w:id="3"/>
      <w:r/>
      <w:bookmarkStart w:id="4" w:name="_Toc498006744"/>
      <w:r>
        <w:rPr>
          <w:rFonts w:hint="eastAsia" w:ascii="华文中宋" w:hAnsi="华文中宋" w:eastAsia="华文中宋" w:cs="华文中宋"/>
          <w:b/>
          <w:bCs/>
          <w:color w:val="000000"/>
          <w:spacing w:val="-7"/>
          <w:sz w:val="40"/>
          <w:szCs w:val="40"/>
          <w:lang w:val="en-US" w:eastAsia="zh-CN"/>
        </w:rPr>
        <w:t xml:space="preserve">第一部分 合同协议书</w:t>
      </w:r>
      <w:bookmarkEnd w:id="4"/>
      <w:r/>
      <w:r/>
    </w:p>
    <w:p>
      <w:pPr>
        <w:ind w:firstLine="422"/>
        <w:pageBreakBefore w:val="0"/>
        <w:spacing w:line="420" w:lineRule="exact"/>
        <w:widowControl w:val="off"/>
        <w:rPr>
          <w:rFonts w:hint="eastAsia" w:ascii="宋体" w:hAnsi="宋体" w:eastAsia="宋体" w:cs="宋体"/>
          <w:b/>
          <w:szCs w:val="30"/>
        </w:rPr>
      </w:pPr>
      <w:r>
        <w:rPr>
          <w:rFonts w:hint="eastAsia" w:ascii="宋体" w:hAnsi="宋体" w:eastAsia="宋体" w:cs="宋体"/>
          <w:b/>
          <w:szCs w:val="30"/>
        </w:rPr>
      </w:r>
      <w:r/>
    </w:p>
    <w:p>
      <w:pPr>
        <w:ind w:firstLine="562"/>
        <w:pageBreakBefore w:val="0"/>
        <w:spacing w:line="420" w:lineRule="exact"/>
        <w:widowControl w:val="off"/>
        <w:rPr>
          <w:rFonts w:hint="eastAsia" w:ascii="宋体" w:hAnsi="宋体" w:eastAsia="宋体" w:cs="宋体"/>
          <w:b/>
          <w:bCs w:val="0"/>
          <w:sz w:val="28"/>
          <w:szCs w:val="28"/>
          <w:u w:val="single"/>
          <w:lang w:eastAsia="zh-CN"/>
        </w:rPr>
      </w:pPr>
      <w:r>
        <w:rPr>
          <w:rFonts w:hint="eastAsia" w:ascii="宋体" w:hAnsi="宋体" w:eastAsia="宋体" w:cs="宋体"/>
          <w:b/>
          <w:bCs w:val="0"/>
          <w:sz w:val="28"/>
          <w:szCs w:val="28"/>
        </w:rPr>
        <w:t xml:space="preserve">发包人（全称）：</w:t>
      </w:r>
      <w:r>
        <w:rPr>
          <w:rFonts w:hint="eastAsia" w:ascii="宋体" w:hAnsi="宋体" w:eastAsia="宋体" w:cs="宋体"/>
          <w:b/>
          <w:bCs w:val="0"/>
          <w:sz w:val="28"/>
          <w:szCs w:val="28"/>
          <w:u w:val="single"/>
          <w:lang w:eastAsia="zh-CN"/>
        </w:rPr>
        <w:t xml:space="preserve"> </w:t>
      </w:r>
      <w:r>
        <w:rPr>
          <w:rFonts w:hint="eastAsia" w:ascii="宋体" w:hAnsi="宋体" w:eastAsia="宋体" w:cs="宋体"/>
          <w:b/>
          <w:bCs w:val="0"/>
          <w:sz w:val="28"/>
          <w:szCs w:val="28"/>
          <w:u w:val="single"/>
          <w:lang w:val="en-US" w:eastAsia="zh-CN"/>
        </w:rPr>
        <w:t xml:space="preserve">  沛县城市管理局</w:t>
      </w:r>
      <w:r>
        <w:rPr>
          <w:rFonts w:hint="eastAsia" w:ascii="宋体" w:hAnsi="宋体" w:eastAsia="宋体" w:cs="宋体"/>
          <w:b/>
          <w:bCs w:val="0"/>
          <w:sz w:val="28"/>
          <w:szCs w:val="28"/>
          <w:u w:val="single"/>
        </w:rPr>
        <w:t xml:space="preserve"> </w:t>
      </w:r>
      <w:r>
        <w:rPr>
          <w:rFonts w:hint="eastAsia" w:ascii="宋体" w:hAnsi="宋体" w:eastAsia="宋体" w:cs="宋体"/>
          <w:b/>
          <w:bCs w:val="0"/>
          <w:sz w:val="28"/>
          <w:szCs w:val="28"/>
          <w:u w:val="single"/>
          <w:lang w:eastAsia="zh-CN"/>
        </w:rPr>
        <w:t xml:space="preserve"> </w:t>
      </w:r>
      <w:r/>
    </w:p>
    <w:p>
      <w:pPr>
        <w:ind w:firstLine="562"/>
        <w:pageBreakBefore w:val="0"/>
        <w:spacing w:line="420" w:lineRule="exact"/>
        <w:rPr>
          <w:rFonts w:hint="eastAsia" w:ascii="宋体" w:hAnsi="宋体" w:eastAsia="宋体" w:cs="宋体"/>
          <w:b/>
          <w:bCs w:val="0"/>
          <w:sz w:val="28"/>
          <w:szCs w:val="28"/>
          <w:u w:val="single"/>
          <w:lang w:eastAsia="zh-CN"/>
        </w:rPr>
      </w:pPr>
      <w:r>
        <w:rPr>
          <w:rFonts w:hint="eastAsia" w:ascii="宋体" w:hAnsi="宋体" w:eastAsia="宋体" w:cs="宋体"/>
          <w:b/>
          <w:bCs w:val="0"/>
          <w:sz w:val="28"/>
          <w:szCs w:val="28"/>
        </w:rPr>
        <w:t xml:space="preserve">承包人（全称）：</w:t>
      </w:r>
      <w:r>
        <w:rPr>
          <w:rFonts w:hint="eastAsia" w:ascii="宋体" w:hAnsi="宋体" w:eastAsia="宋体" w:cs="宋体"/>
          <w:b/>
          <w:bCs w:val="0"/>
          <w:sz w:val="28"/>
          <w:szCs w:val="28"/>
          <w:u w:val="single"/>
          <w:lang w:eastAsia="zh-CN"/>
        </w:rPr>
        <w:t xml:space="preserve"> </w:t>
      </w:r>
      <w:r>
        <w:rPr>
          <w:rFonts w:hint="eastAsia" w:ascii="宋体" w:hAnsi="宋体" w:eastAsia="宋体" w:cs="宋体"/>
          <w:b/>
          <w:bCs w:val="0"/>
          <w:sz w:val="28"/>
          <w:szCs w:val="28"/>
          <w:u w:val="single"/>
          <w:lang w:val="en-US" w:eastAsia="zh-CN"/>
        </w:rPr>
        <w:t xml:space="preserve">              </w:t>
      </w:r>
      <w:r>
        <w:rPr>
          <w:rFonts w:hint="eastAsia" w:ascii="宋体" w:hAnsi="宋体" w:eastAsia="宋体" w:cs="宋体"/>
          <w:b/>
          <w:bCs w:val="0"/>
          <w:sz w:val="28"/>
          <w:szCs w:val="28"/>
          <w:u w:val="single"/>
          <w:lang w:eastAsia="zh-CN"/>
        </w:rPr>
        <w:t xml:space="preserve"> </w:t>
      </w:r>
      <w:r/>
    </w:p>
    <w:p>
      <w:pPr>
        <w:ind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根据《中华人民共和国</w:t>
      </w:r>
      <w:r>
        <w:rPr>
          <w:rFonts w:hint="eastAsia" w:ascii="宋体" w:hAnsi="宋体" w:eastAsia="宋体" w:cs="宋体"/>
          <w:sz w:val="28"/>
          <w:szCs w:val="28"/>
          <w:lang w:val="en-US" w:eastAsia="zh-CN"/>
        </w:rPr>
        <w:t xml:space="preserve">民法典</w:t>
      </w:r>
      <w:r>
        <w:rPr>
          <w:rFonts w:hint="eastAsia" w:ascii="宋体" w:hAnsi="宋体" w:eastAsia="宋体" w:cs="宋体"/>
          <w:sz w:val="28"/>
          <w:szCs w:val="28"/>
        </w:rPr>
        <w:t xml:space="preserve">》、《中华人民共和国建筑法》及有关法律规定，遵循平等、自愿、公平和诚实信用的原则，双方就</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工程施工及有关事项协商一致，共同达成如下协议：</w:t>
      </w:r>
      <w:r/>
    </w:p>
    <w:p>
      <w:pPr>
        <w:ind w:firstLine="560"/>
        <w:jc w:val="both"/>
        <w:keepLines/>
        <w:keepNext/>
        <w:pageBreakBefore w:val="0"/>
        <w:spacing w:line="420" w:lineRule="exact"/>
        <w:widowControl w:val="off"/>
        <w:rPr>
          <w:rFonts w:hint="eastAsia" w:ascii="宋体" w:hAnsi="宋体" w:eastAsia="宋体" w:cs="宋体"/>
          <w:b/>
          <w:bCs w:val="0"/>
          <w:sz w:val="28"/>
          <w:szCs w:val="28"/>
          <w:lang w:val="en-US" w:eastAsia="zh-CN" w:bidi="ar-SA"/>
        </w:rPr>
        <w:outlineLvl w:val="3"/>
      </w:pPr>
      <w:r/>
      <w:bookmarkStart w:id="5" w:name="_Toc351203481"/>
      <w:r>
        <w:rPr>
          <w:rFonts w:hint="eastAsia" w:ascii="宋体" w:hAnsi="宋体" w:eastAsia="宋体" w:cs="宋体"/>
          <w:b w:val="0"/>
          <w:bCs/>
          <w:sz w:val="28"/>
          <w:szCs w:val="28"/>
          <w:lang w:val="en-US" w:eastAsia="zh-CN" w:bidi="ar-SA"/>
        </w:rPr>
        <w:t xml:space="preserve">一、工程概况</w:t>
      </w:r>
      <w:bookmarkEnd w:id="5"/>
      <w:r/>
      <w:r/>
    </w:p>
    <w:p>
      <w:pPr>
        <w:ind w:firstLine="560"/>
        <w:pageBreakBefore w:val="0"/>
        <w:spacing w:line="420" w:lineRule="exact"/>
        <w:rPr>
          <w:rFonts w:hint="eastAsia" w:ascii="宋体" w:hAnsi="宋体" w:eastAsia="宋体" w:cs="宋体"/>
          <w:sz w:val="28"/>
          <w:szCs w:val="28"/>
          <w:u w:val="single"/>
        </w:rPr>
      </w:pPr>
      <w:r>
        <w:rPr>
          <w:rFonts w:hint="eastAsia" w:ascii="宋体" w:hAnsi="宋体" w:eastAsia="宋体" w:cs="宋体"/>
          <w:bCs/>
          <w:sz w:val="28"/>
          <w:szCs w:val="28"/>
        </w:rPr>
        <w:t xml:space="preserve">1.工程名称</w:t>
      </w:r>
      <w:r>
        <w:rPr>
          <w:rFonts w:hint="eastAsia" w:ascii="宋体" w:hAnsi="宋体" w:eastAsia="宋体" w:cs="宋体"/>
          <w:sz w:val="28"/>
          <w:szCs w:val="28"/>
        </w:rPr>
        <w:t xml:space="preserve">：</w:t>
      </w:r>
      <w:r>
        <w:rPr>
          <w:rFonts w:hint="eastAsia" w:ascii="宋体" w:hAnsi="宋体" w:eastAsia="宋体" w:cs="宋体"/>
          <w:sz w:val="28"/>
          <w:szCs w:val="28"/>
          <w:u w:val="single"/>
          <w:lang w:val="en-US" w:eastAsia="zh-CN"/>
        </w:rPr>
        <w:t xml:space="preserve">  智能化公厕改造项目（2025年城区公厕改造及维修工程）      </w:t>
      </w:r>
      <w:r>
        <w:rPr>
          <w:rFonts w:hint="eastAsia" w:ascii="宋体" w:hAnsi="宋体" w:eastAsia="宋体" w:cs="宋体"/>
          <w:sz w:val="28"/>
          <w:szCs w:val="28"/>
        </w:rPr>
        <w:t xml:space="preserve">。</w:t>
      </w:r>
      <w:r/>
    </w:p>
    <w:p>
      <w:pPr>
        <w:ind w:firstLine="56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2.工程地点：</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沛县</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firstLine="56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3.工程立项批准文号：</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bCs/>
          <w:sz w:val="28"/>
          <w:szCs w:val="28"/>
        </w:rPr>
        <w:t xml:space="preserve">。</w:t>
      </w:r>
      <w:r/>
    </w:p>
    <w:p>
      <w:pPr>
        <w:ind w:firstLine="56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4.资金来源：</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财政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bCs/>
          <w:sz w:val="28"/>
          <w:szCs w:val="28"/>
        </w:rPr>
        <w:t xml:space="preserve">。</w:t>
      </w:r>
      <w:r/>
    </w:p>
    <w:p>
      <w:pPr>
        <w:ind w:firstLine="56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5.工程内容：</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工程量清单所含施工图内容  </w:t>
      </w:r>
      <w:r>
        <w:rPr>
          <w:rFonts w:hint="eastAsia" w:ascii="宋体" w:hAnsi="宋体" w:eastAsia="宋体" w:cs="宋体"/>
          <w:sz w:val="28"/>
          <w:szCs w:val="28"/>
          <w:u w:val="single"/>
          <w:lang w:eastAsia="zh-CN"/>
        </w:rPr>
        <w:t xml:space="preserve"> </w:t>
      </w:r>
      <w:r>
        <w:rPr>
          <w:rFonts w:hint="eastAsia" w:ascii="宋体" w:hAnsi="宋体" w:eastAsia="宋体" w:cs="宋体"/>
          <w:bCs/>
          <w:sz w:val="28"/>
          <w:szCs w:val="28"/>
        </w:rPr>
        <w:t xml:space="preserve">。</w:t>
      </w:r>
      <w:r/>
    </w:p>
    <w:p>
      <w:pPr>
        <w:ind w:firstLine="560"/>
        <w:pageBreakBefore w:val="0"/>
        <w:spacing w:line="420" w:lineRule="exact"/>
        <w:rPr>
          <w:rFonts w:hint="eastAsia" w:ascii="宋体" w:hAnsi="宋体" w:eastAsia="宋体" w:cs="宋体"/>
          <w:bCs/>
          <w:sz w:val="28"/>
          <w:szCs w:val="28"/>
        </w:rPr>
      </w:pPr>
      <w:r>
        <w:rPr>
          <w:rFonts w:hint="eastAsia" w:ascii="宋体" w:hAnsi="宋体" w:eastAsia="宋体" w:cs="宋体"/>
          <w:sz w:val="28"/>
          <w:szCs w:val="28"/>
        </w:rPr>
        <w:t xml:space="preserve">群体工程应附《承包人承揽工程项目一览表》（附件1）。</w:t>
      </w:r>
      <w:r/>
    </w:p>
    <w:p>
      <w:pPr>
        <w:ind w:firstLine="560"/>
        <w:pageBreakBefore w:val="0"/>
        <w:spacing w:line="420" w:lineRule="exact"/>
        <w:rPr>
          <w:rFonts w:hint="eastAsia" w:ascii="宋体" w:hAnsi="宋体" w:eastAsia="宋体" w:cs="宋体"/>
          <w:sz w:val="28"/>
          <w:szCs w:val="28"/>
          <w:lang w:val="en-US" w:eastAsia="zh-CN"/>
        </w:rPr>
      </w:pPr>
      <w:r>
        <w:rPr>
          <w:rFonts w:hint="eastAsia" w:ascii="宋体" w:hAnsi="宋体" w:eastAsia="宋体" w:cs="宋体"/>
          <w:bCs/>
          <w:sz w:val="28"/>
          <w:szCs w:val="28"/>
        </w:rPr>
        <w:t xml:space="preserve">6.工程承包范围：</w:t>
      </w:r>
      <w:r>
        <w:rPr>
          <w:rFonts w:hint="eastAsia" w:ascii="宋体" w:hAnsi="宋体" w:eastAsia="宋体" w:cs="宋体"/>
          <w:sz w:val="28"/>
          <w:szCs w:val="28"/>
          <w:u w:val="single"/>
          <w:lang w:val="en-US" w:eastAsia="zh-CN"/>
        </w:rPr>
        <w:t xml:space="preserve">工程量清单所含施工图内容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6" w:name="_Toc351203482"/>
      <w:r>
        <w:rPr>
          <w:rFonts w:hint="eastAsia" w:ascii="宋体" w:hAnsi="宋体" w:eastAsia="宋体" w:cs="宋体"/>
          <w:b w:val="0"/>
          <w:bCs/>
          <w:sz w:val="28"/>
          <w:szCs w:val="28"/>
          <w:lang w:val="en-US" w:eastAsia="zh-CN" w:bidi="ar-SA"/>
        </w:rPr>
        <w:t xml:space="preserve">二、合同工期</w:t>
      </w:r>
      <w:bookmarkEnd w:id="6"/>
      <w:r/>
      <w:r/>
    </w:p>
    <w:p>
      <w:pPr>
        <w:ind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计划开工日期：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日。（具体开工日期以建设单位签发的开工令为准。）</w:t>
      </w:r>
      <w:r/>
    </w:p>
    <w:p>
      <w:pPr>
        <w:ind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计划竣工日期：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日。 </w:t>
      </w:r>
      <w:r/>
    </w:p>
    <w:p>
      <w:pPr>
        <w:ind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工期总日历天数：</w:t>
      </w:r>
      <w:r>
        <w:rPr>
          <w:rFonts w:hint="eastAsia" w:ascii="宋体" w:hAnsi="宋体" w:eastAsia="宋体" w:cs="宋体"/>
          <w:sz w:val="28"/>
          <w:szCs w:val="28"/>
          <w:u w:val="single"/>
          <w:lang w:val="en-US" w:eastAsia="zh-CN"/>
        </w:rPr>
        <w:t xml:space="preserve"> 50 </w:t>
      </w:r>
      <w:r>
        <w:rPr>
          <w:rFonts w:hint="eastAsia" w:ascii="宋体" w:hAnsi="宋体" w:eastAsia="宋体" w:cs="宋体"/>
          <w:sz w:val="28"/>
          <w:szCs w:val="28"/>
        </w:rPr>
        <w:t xml:space="preserve">天。工期总日历天数与根据前述计划开竣工日期计算的工期天数不一致的，以工期总日历天数为准。</w:t>
      </w:r>
      <w:r/>
    </w:p>
    <w:p>
      <w:pPr>
        <w:ind w:firstLine="560"/>
        <w:jc w:val="both"/>
        <w:keepLines/>
        <w:keepNext/>
        <w:pageBreakBefore w:val="0"/>
        <w:spacing w:line="420" w:lineRule="exact"/>
        <w:widowControl w:val="off"/>
        <w:rPr>
          <w:rFonts w:hint="eastAsia" w:ascii="宋体" w:hAnsi="宋体" w:eastAsia="宋体" w:cs="宋体"/>
          <w:b/>
          <w:bCs w:val="0"/>
          <w:sz w:val="28"/>
          <w:szCs w:val="28"/>
          <w:lang w:val="en-US" w:eastAsia="zh-CN" w:bidi="ar-SA"/>
        </w:rPr>
        <w:outlineLvl w:val="3"/>
      </w:pPr>
      <w:r/>
      <w:bookmarkStart w:id="7" w:name="_Toc351203483"/>
      <w:r>
        <w:rPr>
          <w:rFonts w:hint="eastAsia" w:ascii="宋体" w:hAnsi="宋体" w:eastAsia="宋体" w:cs="宋体"/>
          <w:b w:val="0"/>
          <w:bCs/>
          <w:sz w:val="28"/>
          <w:szCs w:val="28"/>
          <w:lang w:val="en-US" w:eastAsia="zh-CN" w:bidi="ar-SA"/>
        </w:rPr>
        <w:t xml:space="preserve">三、质量标准</w:t>
      </w:r>
      <w:bookmarkEnd w:id="7"/>
      <w:r/>
      <w:r/>
    </w:p>
    <w:p>
      <w:pPr>
        <w:ind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工程质量符合</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合格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标准。</w:t>
      </w:r>
      <w:r/>
    </w:p>
    <w:p>
      <w:pPr>
        <w:ind w:firstLine="560"/>
        <w:jc w:val="both"/>
        <w:keepLines/>
        <w:keepNext/>
        <w:pageBreakBefore w:val="0"/>
        <w:spacing w:line="420" w:lineRule="exact"/>
        <w:widowControl w:val="off"/>
        <w:rPr>
          <w:rFonts w:hint="eastAsia" w:ascii="宋体" w:hAnsi="宋体" w:eastAsia="宋体" w:cs="宋体"/>
          <w:b/>
          <w:bCs w:val="0"/>
          <w:sz w:val="28"/>
          <w:szCs w:val="28"/>
          <w:lang w:val="en-US" w:eastAsia="zh-CN" w:bidi="ar-SA"/>
        </w:rPr>
        <w:outlineLvl w:val="3"/>
      </w:pPr>
      <w:r/>
      <w:bookmarkStart w:id="8" w:name="_Toc351203484"/>
      <w:r>
        <w:rPr>
          <w:rFonts w:hint="eastAsia" w:ascii="宋体" w:hAnsi="宋体" w:eastAsia="宋体" w:cs="宋体"/>
          <w:b w:val="0"/>
          <w:bCs/>
          <w:sz w:val="28"/>
          <w:szCs w:val="28"/>
          <w:lang w:val="en-US" w:eastAsia="zh-CN" w:bidi="ar-SA"/>
        </w:rPr>
        <w:t xml:space="preserve">四、签约合同价与合同价格形式</w:t>
      </w:r>
      <w:bookmarkEnd w:id="8"/>
      <w:r>
        <w:rPr>
          <w:rFonts w:hint="eastAsia" w:ascii="宋体" w:hAnsi="宋体" w:eastAsia="宋体" w:cs="宋体"/>
          <w:b w:val="0"/>
          <w:bCs/>
          <w:sz w:val="28"/>
          <w:szCs w:val="28"/>
          <w:lang w:val="en-US" w:eastAsia="zh-CN" w:bidi="ar-SA"/>
        </w:rPr>
        <w:tab/>
      </w:r>
      <w:r/>
    </w:p>
    <w:p>
      <w:pPr>
        <w:ind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1.签约合同价为：</w:t>
      </w:r>
      <w:r/>
    </w:p>
    <w:p>
      <w:pPr>
        <w:ind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人民币（大写）</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w:t>
      </w:r>
      <w:r/>
    </w:p>
    <w:p>
      <w:pPr>
        <w:ind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其中：</w:t>
      </w:r>
      <w:r/>
    </w:p>
    <w:p>
      <w:pPr>
        <w:ind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（1）安全文明施工费：</w:t>
      </w:r>
      <w:r/>
    </w:p>
    <w:p>
      <w:pPr>
        <w:ind w:firstLine="560"/>
        <w:jc w:val="left"/>
        <w:keepLines w:val="0"/>
        <w:keepNext w:val="0"/>
        <w:pageBreakBefore w:val="0"/>
        <w:spacing w:line="42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人民币（大写）</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w:t>
      </w:r>
      <w:r/>
    </w:p>
    <w:p>
      <w:pPr>
        <w:ind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（2）材料和工程设备暂估价金额：</w:t>
      </w:r>
      <w:r/>
    </w:p>
    <w:p>
      <w:pPr>
        <w:ind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人民币（大写）</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w:t>
      </w:r>
      <w:r/>
    </w:p>
    <w:p>
      <w:pPr>
        <w:ind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（3）专业工程暂估价金额：</w:t>
      </w:r>
      <w:r/>
    </w:p>
    <w:p>
      <w:pPr>
        <w:ind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人民币（大写）</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w:t>
      </w:r>
      <w:r/>
    </w:p>
    <w:p>
      <w:pPr>
        <w:ind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（4）暂列金额：</w:t>
      </w:r>
      <w:r/>
    </w:p>
    <w:p>
      <w:pPr>
        <w:ind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人民币（大写）</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w:t>
      </w:r>
      <w:r/>
    </w:p>
    <w:p>
      <w:pPr>
        <w:ind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2.合同价格形式：</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固定单价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9" w:name="_Toc351203485"/>
      <w:r>
        <w:rPr>
          <w:rFonts w:hint="eastAsia" w:ascii="宋体" w:hAnsi="宋体" w:eastAsia="宋体" w:cs="宋体"/>
          <w:b w:val="0"/>
          <w:bCs/>
          <w:sz w:val="28"/>
          <w:szCs w:val="28"/>
          <w:lang w:val="en-US" w:eastAsia="zh-CN" w:bidi="ar-SA"/>
        </w:rPr>
        <w:t xml:space="preserve">五、</w:t>
      </w:r>
      <w:bookmarkEnd w:id="9"/>
      <w:r>
        <w:rPr>
          <w:rFonts w:hint="eastAsia" w:ascii="宋体" w:hAnsi="宋体" w:eastAsia="宋体" w:cs="宋体"/>
          <w:b w:val="0"/>
          <w:bCs/>
          <w:sz w:val="28"/>
          <w:szCs w:val="28"/>
          <w:lang w:val="en-US" w:eastAsia="zh-CN" w:bidi="ar-SA"/>
        </w:rPr>
        <w:t xml:space="preserve">项目经理</w:t>
      </w:r>
      <w:r/>
    </w:p>
    <w:p>
      <w:pPr>
        <w:ind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承包人项目经理：</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firstLine="560"/>
        <w:jc w:val="both"/>
        <w:keepLines/>
        <w:keepNext/>
        <w:pageBreakBefore w:val="0"/>
        <w:spacing w:line="420" w:lineRule="exact"/>
        <w:widowControl w:val="off"/>
        <w:rPr>
          <w:rFonts w:hint="eastAsia" w:ascii="宋体" w:hAnsi="宋体" w:eastAsia="宋体" w:cs="宋体"/>
          <w:b/>
          <w:bCs w:val="0"/>
          <w:sz w:val="28"/>
          <w:szCs w:val="28"/>
          <w:lang w:val="en-US" w:eastAsia="zh-CN" w:bidi="ar-SA"/>
        </w:rPr>
        <w:outlineLvl w:val="3"/>
      </w:pPr>
      <w:r/>
      <w:bookmarkStart w:id="10" w:name="_Toc351203486"/>
      <w:r>
        <w:rPr>
          <w:rFonts w:hint="eastAsia" w:ascii="宋体" w:hAnsi="宋体" w:eastAsia="宋体" w:cs="宋体"/>
          <w:b w:val="0"/>
          <w:bCs/>
          <w:sz w:val="28"/>
          <w:szCs w:val="28"/>
          <w:lang w:val="en-US" w:eastAsia="zh-CN" w:bidi="ar-SA"/>
        </w:rPr>
        <w:t xml:space="preserve">六、合同文件构成</w:t>
      </w:r>
      <w:bookmarkEnd w:id="10"/>
      <w:r/>
      <w:r/>
    </w:p>
    <w:p>
      <w:pPr>
        <w:ind w:firstLine="56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本协议书与下列文件一起构成合同文件：</w:t>
      </w:r>
      <w:r/>
    </w:p>
    <w:p>
      <w:pPr>
        <w:ind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（1）中标通知书（如果有）；</w:t>
      </w:r>
      <w:r/>
    </w:p>
    <w:p>
      <w:pPr>
        <w:ind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（2）投标函及其附录（如果有）； </w:t>
      </w:r>
      <w:r/>
    </w:p>
    <w:p>
      <w:pPr>
        <w:ind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（3）专用合同条款及其附件；</w:t>
      </w:r>
      <w:r/>
    </w:p>
    <w:p>
      <w:pPr>
        <w:ind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（4）通用合同条款；</w:t>
      </w:r>
      <w:r/>
    </w:p>
    <w:p>
      <w:pPr>
        <w:ind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（5）技术标准和要求；</w:t>
      </w:r>
      <w:r/>
    </w:p>
    <w:p>
      <w:pPr>
        <w:ind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（6）图纸；</w:t>
      </w:r>
      <w:r/>
    </w:p>
    <w:p>
      <w:pPr>
        <w:ind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（7）已标价工程量清单或预算书；</w:t>
      </w:r>
      <w:r/>
    </w:p>
    <w:p>
      <w:pPr>
        <w:ind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（8）其他合同文件。</w:t>
      </w:r>
      <w:r/>
    </w:p>
    <w:p>
      <w:pPr>
        <w:ind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在合同订立及履行过程中形成的与合同有关的文件均构成合同文件组成部分。</w:t>
      </w:r>
      <w:r/>
    </w:p>
    <w:p>
      <w:pPr>
        <w:ind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ind w:firstLine="560"/>
        <w:jc w:val="both"/>
        <w:keepLines/>
        <w:keepNext/>
        <w:pageBreakBefore w:val="0"/>
        <w:spacing w:line="420" w:lineRule="exact"/>
        <w:widowControl w:val="off"/>
        <w:rPr>
          <w:rFonts w:hint="eastAsia" w:ascii="宋体" w:hAnsi="宋体" w:eastAsia="宋体" w:cs="宋体"/>
          <w:b w:val="0"/>
          <w:bCs w:val="0"/>
          <w:sz w:val="28"/>
          <w:szCs w:val="28"/>
          <w:lang w:val="en-US" w:eastAsia="zh-CN" w:bidi="ar-SA"/>
        </w:rPr>
        <w:outlineLvl w:val="3"/>
      </w:pPr>
      <w:r/>
      <w:bookmarkStart w:id="11" w:name="_Toc351203487"/>
      <w:r>
        <w:rPr>
          <w:rFonts w:hint="eastAsia" w:ascii="宋体" w:hAnsi="宋体" w:eastAsia="宋体" w:cs="宋体"/>
          <w:b w:val="0"/>
          <w:bCs/>
          <w:sz w:val="28"/>
          <w:szCs w:val="28"/>
          <w:lang w:val="en-US" w:eastAsia="zh-CN" w:bidi="ar-SA"/>
        </w:rPr>
        <w:t xml:space="preserve">七、承诺</w:t>
      </w:r>
      <w:bookmarkEnd w:id="11"/>
      <w:r/>
      <w:r/>
    </w:p>
    <w:p>
      <w:pPr>
        <w:ind w:firstLine="56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1.发包人承诺按照法律规定履行项目审批手续、筹集工程建设资金并按照合同约定的期限和方式支付合同价款。</w:t>
      </w:r>
      <w:r/>
    </w:p>
    <w:p>
      <w:pPr>
        <w:ind w:firstLine="56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2.承包人承诺按照法律规定及合同约定组织完成工程施工，确保工程质量和安全，不进行转包及违法分包，并在缺陷责任期及保修期内承担相应的工程维修责任。</w:t>
      </w:r>
      <w:r/>
    </w:p>
    <w:p>
      <w:pPr>
        <w:ind w:firstLine="56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3.发包人和承包人通过招投标形式签订合同的，双方理解并承诺不再就同一工程另行签订与合同实质性内容相背离的协议。</w:t>
      </w:r>
      <w:r/>
    </w:p>
    <w:p>
      <w:pPr>
        <w:ind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12" w:name="_Toc351203488"/>
      <w:r>
        <w:rPr>
          <w:rFonts w:hint="eastAsia" w:ascii="宋体" w:hAnsi="宋体" w:eastAsia="宋体" w:cs="宋体"/>
          <w:b w:val="0"/>
          <w:bCs/>
          <w:sz w:val="28"/>
          <w:szCs w:val="28"/>
          <w:lang w:val="en-US" w:eastAsia="zh-CN" w:bidi="ar-SA"/>
        </w:rPr>
        <w:t xml:space="preserve">八、词语含义</w:t>
      </w:r>
      <w:bookmarkEnd w:id="12"/>
      <w:r/>
      <w:r/>
    </w:p>
    <w:p>
      <w:pPr>
        <w:ind w:firstLine="56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本协议书中词语含义与第二部分通用合同条款中赋予的含义相同。</w:t>
      </w:r>
      <w:r/>
    </w:p>
    <w:p>
      <w:pPr>
        <w:ind w:firstLine="560"/>
        <w:jc w:val="both"/>
        <w:keepLines/>
        <w:keepNext/>
        <w:pageBreakBefore w:val="0"/>
        <w:spacing w:line="420" w:lineRule="exact"/>
        <w:widowControl w:val="off"/>
        <w:rPr>
          <w:rFonts w:hint="eastAsia" w:ascii="宋体" w:hAnsi="宋体" w:eastAsia="宋体" w:cs="宋体"/>
          <w:b/>
          <w:bCs w:val="0"/>
          <w:sz w:val="28"/>
          <w:szCs w:val="28"/>
          <w:lang w:val="en-US" w:eastAsia="zh-CN" w:bidi="ar-SA"/>
        </w:rPr>
        <w:outlineLvl w:val="3"/>
      </w:pPr>
      <w:r/>
      <w:bookmarkStart w:id="13" w:name="_Toc351203489"/>
      <w:r>
        <w:rPr>
          <w:rFonts w:hint="eastAsia" w:ascii="宋体" w:hAnsi="宋体" w:eastAsia="宋体" w:cs="宋体"/>
          <w:b w:val="0"/>
          <w:bCs/>
          <w:sz w:val="28"/>
          <w:szCs w:val="28"/>
          <w:lang w:val="en-US" w:eastAsia="zh-CN" w:bidi="ar-SA"/>
        </w:rPr>
        <w:t xml:space="preserve">九、签订时间</w:t>
      </w:r>
      <w:bookmarkEnd w:id="13"/>
      <w:r/>
      <w:r/>
    </w:p>
    <w:p>
      <w:pPr>
        <w:ind w:firstLine="56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本合同于</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 xml:space="preserve">年</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 xml:space="preserve">月</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 xml:space="preserve">日签订。</w:t>
      </w:r>
      <w:r/>
    </w:p>
    <w:p>
      <w:pPr>
        <w:ind w:firstLine="560"/>
        <w:jc w:val="both"/>
        <w:keepLines/>
        <w:keepNext/>
        <w:pageBreakBefore w:val="0"/>
        <w:spacing w:line="420" w:lineRule="exact"/>
        <w:widowControl w:val="off"/>
        <w:rPr>
          <w:rFonts w:hint="eastAsia" w:ascii="宋体" w:hAnsi="宋体" w:eastAsia="宋体" w:cs="宋体"/>
          <w:b/>
          <w:bCs w:val="0"/>
          <w:sz w:val="28"/>
          <w:szCs w:val="28"/>
          <w:lang w:val="en-US" w:eastAsia="zh-CN" w:bidi="ar-SA"/>
        </w:rPr>
        <w:outlineLvl w:val="3"/>
      </w:pPr>
      <w:r/>
      <w:bookmarkStart w:id="14" w:name="_Toc351203490"/>
      <w:r>
        <w:rPr>
          <w:rFonts w:hint="eastAsia" w:ascii="宋体" w:hAnsi="宋体" w:eastAsia="宋体" w:cs="宋体"/>
          <w:b w:val="0"/>
          <w:bCs/>
          <w:sz w:val="28"/>
          <w:szCs w:val="28"/>
          <w:lang w:val="en-US" w:eastAsia="zh-CN" w:bidi="ar-SA"/>
        </w:rPr>
        <w:t xml:space="preserve">十、签订地点</w:t>
      </w:r>
      <w:bookmarkEnd w:id="14"/>
      <w:r/>
      <w:r/>
    </w:p>
    <w:p>
      <w:pPr>
        <w:ind w:firstLine="56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本合同在</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 xml:space="preserve">签订。</w:t>
      </w:r>
      <w:r/>
    </w:p>
    <w:p>
      <w:pPr>
        <w:ind w:firstLine="560"/>
        <w:jc w:val="both"/>
        <w:keepLines/>
        <w:keepNext/>
        <w:pageBreakBefore w:val="0"/>
        <w:spacing w:line="420" w:lineRule="exact"/>
        <w:widowControl w:val="off"/>
        <w:rPr>
          <w:rFonts w:hint="eastAsia" w:ascii="宋体" w:hAnsi="宋体" w:eastAsia="宋体" w:cs="宋体"/>
          <w:b/>
          <w:bCs w:val="0"/>
          <w:sz w:val="28"/>
          <w:szCs w:val="28"/>
          <w:lang w:val="en-US" w:eastAsia="zh-CN" w:bidi="ar-SA"/>
        </w:rPr>
        <w:outlineLvl w:val="3"/>
      </w:pPr>
      <w:r/>
      <w:bookmarkStart w:id="15" w:name="_Toc351203491"/>
      <w:r>
        <w:rPr>
          <w:rFonts w:hint="eastAsia" w:ascii="宋体" w:hAnsi="宋体" w:eastAsia="宋体" w:cs="宋体"/>
          <w:b w:val="0"/>
          <w:bCs/>
          <w:sz w:val="28"/>
          <w:szCs w:val="28"/>
          <w:lang w:val="en-US" w:eastAsia="zh-CN" w:bidi="ar-SA"/>
        </w:rPr>
        <w:t xml:space="preserve">十一、补充协议</w:t>
      </w:r>
      <w:bookmarkEnd w:id="15"/>
      <w:r/>
      <w:r/>
    </w:p>
    <w:p>
      <w:pPr>
        <w:ind w:firstLine="560"/>
        <w:pageBreakBefore w:val="0"/>
        <w:spacing w:line="420" w:lineRule="exact"/>
        <w:rPr>
          <w:rFonts w:hint="eastAsia" w:ascii="宋体" w:hAnsi="宋体" w:eastAsia="宋体" w:cs="宋体"/>
          <w:b/>
          <w:bCs/>
          <w:sz w:val="28"/>
          <w:szCs w:val="28"/>
        </w:rPr>
      </w:pPr>
      <w:r>
        <w:rPr>
          <w:rFonts w:hint="eastAsia" w:ascii="宋体" w:hAnsi="宋体" w:eastAsia="宋体" w:cs="宋体"/>
          <w:bCs/>
          <w:sz w:val="28"/>
          <w:szCs w:val="28"/>
        </w:rPr>
        <w:t xml:space="preserve">合同未尽事宜，合同当事人另行签订补充协议，补充协议是合同的组成部分。</w:t>
      </w:r>
      <w:r/>
    </w:p>
    <w:p>
      <w:pPr>
        <w:ind w:firstLine="560"/>
        <w:jc w:val="both"/>
        <w:keepLines/>
        <w:keepNext/>
        <w:pageBreakBefore w:val="0"/>
        <w:spacing w:line="420" w:lineRule="exact"/>
        <w:widowControl w:val="off"/>
        <w:rPr>
          <w:rFonts w:hint="eastAsia" w:ascii="宋体" w:hAnsi="宋体" w:eastAsia="宋体" w:cs="宋体"/>
          <w:b/>
          <w:bCs w:val="0"/>
          <w:sz w:val="28"/>
          <w:szCs w:val="28"/>
          <w:lang w:val="en-US" w:eastAsia="zh-CN" w:bidi="ar-SA"/>
        </w:rPr>
        <w:outlineLvl w:val="3"/>
      </w:pPr>
      <w:r/>
      <w:bookmarkStart w:id="16" w:name="_Toc351203492"/>
      <w:r>
        <w:rPr>
          <w:rFonts w:hint="eastAsia" w:ascii="宋体" w:hAnsi="宋体" w:eastAsia="宋体" w:cs="宋体"/>
          <w:b w:val="0"/>
          <w:bCs/>
          <w:sz w:val="28"/>
          <w:szCs w:val="28"/>
          <w:lang w:val="en-US" w:eastAsia="zh-CN" w:bidi="ar-SA"/>
        </w:rPr>
        <w:t xml:space="preserve">十二、合同生效</w:t>
      </w:r>
      <w:bookmarkEnd w:id="16"/>
      <w:r/>
      <w:r/>
    </w:p>
    <w:p>
      <w:pPr>
        <w:ind w:firstLine="56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本合同自</w:t>
      </w:r>
      <w:r>
        <w:rPr>
          <w:rFonts w:hint="eastAsia" w:ascii="宋体" w:hAnsi="宋体" w:eastAsia="宋体" w:cs="宋体"/>
          <w:bCs/>
          <w:sz w:val="28"/>
          <w:szCs w:val="28"/>
          <w:u w:val="single"/>
        </w:rPr>
        <w:t xml:space="preserve">       双方签字盖章后      </w:t>
      </w:r>
      <w:r>
        <w:rPr>
          <w:rFonts w:hint="eastAsia" w:ascii="宋体" w:hAnsi="宋体" w:eastAsia="宋体" w:cs="宋体"/>
          <w:bCs/>
          <w:sz w:val="28"/>
          <w:szCs w:val="28"/>
        </w:rPr>
        <w:t xml:space="preserve">生效。</w:t>
      </w:r>
      <w:r/>
    </w:p>
    <w:p>
      <w:pPr>
        <w:ind w:firstLine="560"/>
        <w:jc w:val="both"/>
        <w:keepLines/>
        <w:keepNext/>
        <w:pageBreakBefore w:val="0"/>
        <w:spacing w:line="420" w:lineRule="exact"/>
        <w:widowControl w:val="off"/>
        <w:rPr>
          <w:rFonts w:hint="eastAsia" w:ascii="宋体" w:hAnsi="宋体" w:eastAsia="宋体" w:cs="宋体"/>
          <w:b/>
          <w:bCs w:val="0"/>
          <w:sz w:val="28"/>
          <w:szCs w:val="28"/>
          <w:lang w:val="en-US" w:eastAsia="zh-CN" w:bidi="ar-SA"/>
        </w:rPr>
        <w:outlineLvl w:val="3"/>
      </w:pPr>
      <w:r/>
      <w:bookmarkStart w:id="17" w:name="_Toc351203493"/>
      <w:r>
        <w:rPr>
          <w:rFonts w:hint="eastAsia" w:ascii="宋体" w:hAnsi="宋体" w:eastAsia="宋体" w:cs="宋体"/>
          <w:b w:val="0"/>
          <w:bCs/>
          <w:sz w:val="28"/>
          <w:szCs w:val="28"/>
          <w:lang w:val="en-US" w:eastAsia="zh-CN" w:bidi="ar-SA"/>
        </w:rPr>
        <w:t xml:space="preserve">十三、合同份数</w:t>
      </w:r>
      <w:bookmarkEnd w:id="17"/>
      <w:r/>
      <w:r/>
    </w:p>
    <w:p>
      <w:pPr>
        <w:ind w:firstLine="56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本合同一式</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捌</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 xml:space="preserve">份，均具有同等法律效力，发包人执</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肆</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 xml:space="preserve">份，承包人执</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肆</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 xml:space="preserve">份。</w:t>
      </w:r>
      <w:r/>
    </w:p>
    <w:p>
      <w:pPr>
        <w:ind w:firstLine="560"/>
        <w:pageBreakBefore w:val="0"/>
        <w:spacing w:line="440" w:lineRule="exact"/>
        <w:rPr>
          <w:rFonts w:hint="eastAsia" w:ascii="宋体" w:hAnsi="宋体" w:eastAsia="宋体" w:cs="宋体"/>
          <w:bCs/>
          <w:sz w:val="28"/>
          <w:szCs w:val="28"/>
        </w:rPr>
      </w:pPr>
      <w:r>
        <w:rPr>
          <w:rFonts w:hint="eastAsia" w:ascii="宋体" w:hAnsi="宋体" w:eastAsia="宋体" w:cs="宋体"/>
          <w:bCs/>
          <w:sz w:val="28"/>
          <w:szCs w:val="28"/>
        </w:rPr>
      </w:r>
      <w:r/>
    </w:p>
    <w:tbl>
      <w:tblPr>
        <w:tblStyle w:val="1132"/>
        <w:tblpPr w:horzAnchor="page" w:tblpX="1702" w:vertAnchor="text" w:tblpY="119" w:leftFromText="180" w:topFromText="0" w:rightFromText="180" w:bottomFromText="0"/>
        <w:tblW w:w="9072" w:type="dxa"/>
        <w:tblInd w:w="0" w:type="dxa"/>
        <w:tblLayout w:type="fixed"/>
        <w:tblCellMar>
          <w:left w:w="108" w:type="dxa"/>
          <w:top w:w="0" w:type="dxa"/>
          <w:right w:w="108" w:type="dxa"/>
          <w:bottom w:w="0" w:type="dxa"/>
        </w:tblCellMar>
        <w:tblLook w:val="04A0" w:firstRow="1" w:lastRow="0" w:firstColumn="1" w:lastColumn="0" w:noHBand="0" w:noVBand="1"/>
      </w:tblPr>
      <w:tblGrid>
        <w:gridCol w:w="4507"/>
        <w:gridCol w:w="4565"/>
      </w:tblGrid>
      <w:tr>
        <w:trPr>
          <w:trHeight w:val="2074"/>
        </w:trPr>
        <w:tc>
          <w:tcPr>
            <w:tcW w:w="4507" w:type="dxa"/>
            <w:textDirection w:val="lrTb"/>
            <w:noWrap w:val="false"/>
          </w:tcPr>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发包人：（公章）</w:t>
            </w:r>
            <w:r/>
          </w:p>
        </w:tc>
        <w:tc>
          <w:tcPr>
            <w:tcW w:w="4565" w:type="dxa"/>
            <w:textDirection w:val="lrTb"/>
            <w:noWrap w:val="false"/>
          </w:tcPr>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承包人：（公章）</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r>
            <w:r/>
          </w:p>
        </w:tc>
      </w:tr>
      <w:tr>
        <w:trPr>
          <w:trHeight w:val="1579"/>
        </w:trPr>
        <w:tc>
          <w:tcPr>
            <w:tcW w:w="4507" w:type="dxa"/>
            <w:textDirection w:val="lrTb"/>
            <w:noWrap w:val="false"/>
          </w:tcPr>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法定代表人或其委托代理人：</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（签字）</w:t>
            </w:r>
            <w:r/>
          </w:p>
        </w:tc>
        <w:tc>
          <w:tcPr>
            <w:tcW w:w="4565" w:type="dxa"/>
            <w:textDirection w:val="lrTb"/>
            <w:noWrap w:val="false"/>
          </w:tcPr>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法定代表人或其委托代理人：</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（签字）</w:t>
            </w:r>
            <w:r/>
          </w:p>
        </w:tc>
      </w:tr>
      <w:tr>
        <w:trPr/>
        <w:tc>
          <w:tcPr>
            <w:tcW w:w="4507" w:type="dxa"/>
            <w:textDirection w:val="lrTb"/>
            <w:noWrap w:val="false"/>
          </w:tcPr>
          <w:p>
            <w:pPr>
              <w:pStyle w:val="1343"/>
              <w:spacing w:after="50" w:line="360" w:lineRule="auto"/>
              <w:rPr>
                <w:rFonts w:hint="eastAsia" w:ascii="宋体" w:hAnsi="宋体" w:eastAsia="宋体" w:cs="宋体"/>
                <w:color w:val="auto"/>
                <w:spacing w:val="-10"/>
                <w:sz w:val="28"/>
                <w:szCs w:val="28"/>
                <w:u w:val="single"/>
                <w:lang w:val="en-US" w:eastAsia="zh-CN"/>
              </w:rPr>
              <w:framePr w:hSpace="0" w:wrap="auto" w:vAnchor="margin" w:hAnchor="text" w:yAlign="inline"/>
            </w:pPr>
            <w:r>
              <w:rPr>
                <w:rFonts w:hint="eastAsia" w:ascii="宋体" w:hAnsi="宋体" w:eastAsia="宋体" w:cs="宋体"/>
                <w:color w:val="auto"/>
                <w:sz w:val="28"/>
                <w:szCs w:val="28"/>
              </w:rPr>
              <w:t xml:space="preserve">统一社会信用代码：</w:t>
            </w:r>
            <w:r>
              <w:rPr>
                <w:rFonts w:hint="eastAsia" w:ascii="宋体" w:hAnsi="宋体" w:eastAsia="宋体" w:cs="宋体"/>
                <w:sz w:val="28"/>
                <w:szCs w:val="28"/>
                <w:u w:val="single"/>
                <w:lang w:val="en-US" w:eastAsia="zh-CN"/>
              </w:rPr>
              <w:t xml:space="preserve">    </w:t>
            </w:r>
            <w:r>
              <w:rPr>
                <w:rFonts w:hint="eastAsia" w:ascii="宋体" w:hAnsi="宋体" w:eastAsia="宋体" w:cs="宋体"/>
                <w:color w:val="auto"/>
                <w:spacing w:val="-10"/>
                <w:sz w:val="28"/>
                <w:szCs w:val="28"/>
                <w:u w:val="single"/>
                <w:lang w:val="en-US" w:eastAsia="zh-CN"/>
              </w:rPr>
              <w:t xml:space="preserve">               </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地址：</w:t>
            </w:r>
            <w:r>
              <w:rPr>
                <w:rFonts w:hint="eastAsia" w:ascii="宋体" w:hAnsi="宋体" w:eastAsia="宋体" w:cs="宋体"/>
                <w:color w:val="auto"/>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邮政编码：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法定代表人：</w:t>
            </w:r>
            <w:r>
              <w:rPr>
                <w:rFonts w:hint="eastAsia" w:ascii="宋体" w:hAnsi="宋体" w:eastAsia="宋体" w:cs="宋体"/>
                <w:color w:val="auto"/>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委托代理人：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电话：</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传真：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电子信箱：</w:t>
            </w:r>
            <w:r>
              <w:rPr>
                <w:rFonts w:hint="eastAsia" w:ascii="宋体" w:hAnsi="宋体" w:eastAsia="宋体" w:cs="宋体"/>
                <w:color w:val="auto"/>
                <w:sz w:val="28"/>
                <w:szCs w:val="28"/>
                <w:u w:val="single"/>
              </w:rPr>
              <w:t xml:space="preserve">                    </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开户银行：</w:t>
            </w:r>
            <w:r>
              <w:rPr>
                <w:rFonts w:hint="eastAsia" w:ascii="宋体" w:hAnsi="宋体" w:eastAsia="宋体" w:cs="宋体"/>
                <w:color w:val="auto"/>
                <w:sz w:val="28"/>
                <w:szCs w:val="28"/>
                <w:u w:val="single"/>
              </w:rPr>
              <w:t xml:space="preserve">                   </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账号：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p>
        </w:tc>
        <w:tc>
          <w:tcPr>
            <w:tcW w:w="4565" w:type="dxa"/>
            <w:textDirection w:val="lrTb"/>
            <w:noWrap w:val="false"/>
          </w:tcPr>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统一社会信用代码：</w:t>
            </w:r>
            <w:r>
              <w:rPr>
                <w:rFonts w:hint="eastAsia" w:ascii="宋体" w:hAnsi="宋体" w:eastAsia="宋体" w:cs="宋体"/>
                <w:color w:val="auto"/>
                <w:spacing w:val="1"/>
                <w:sz w:val="28"/>
                <w:szCs w:val="28"/>
                <w:u w:val="single"/>
                <w:lang w:val="en-US" w:eastAsia="zh-CN"/>
              </w:rPr>
              <w:t xml:space="preserve">    </w:t>
            </w:r>
            <w:r>
              <w:rPr>
                <w:rFonts w:hint="eastAsia" w:ascii="宋体" w:hAnsi="宋体" w:eastAsia="宋体" w:cs="宋体"/>
                <w:color w:val="auto"/>
                <w:sz w:val="28"/>
                <w:szCs w:val="28"/>
                <w:u w:val="single"/>
              </w:rPr>
              <w:t xml:space="preserve">           </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地址：</w:t>
            </w:r>
            <w:r>
              <w:rPr>
                <w:rFonts w:hint="eastAsia" w:ascii="宋体" w:hAnsi="宋体" w:eastAsia="宋体" w:cs="宋体"/>
                <w:color w:val="auto"/>
                <w:spacing w:val="-6"/>
                <w:sz w:val="28"/>
                <w:szCs w:val="28"/>
                <w:u w:val="single"/>
                <w:lang w:val="en-US" w:eastAsia="zh-CN"/>
              </w:rPr>
              <w:t xml:space="preserve">      </w:t>
            </w:r>
            <w:r>
              <w:rPr>
                <w:rFonts w:hint="eastAsia" w:ascii="宋体" w:hAnsi="宋体" w:eastAsia="宋体" w:cs="宋体"/>
                <w:color w:val="auto"/>
                <w:sz w:val="28"/>
                <w:szCs w:val="28"/>
                <w:u w:val="single"/>
              </w:rPr>
              <w:t xml:space="preserve">                      </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邮政编码：</w:t>
            </w:r>
            <w:r>
              <w:rPr>
                <w:rFonts w:hint="eastAsia" w:ascii="宋体" w:hAnsi="宋体" w:eastAsia="宋体" w:cs="宋体"/>
                <w:sz w:val="28"/>
                <w:szCs w:val="28"/>
                <w:u w:val="single"/>
                <w:lang w:val="en-US" w:eastAsia="zh-CN"/>
              </w:rPr>
              <w:t xml:space="preserve"> </w:t>
            </w:r>
            <w:r>
              <w:rPr>
                <w:rFonts w:hint="eastAsia" w:ascii="宋体" w:hAnsi="宋体" w:eastAsia="宋体" w:cs="宋体"/>
                <w:color w:val="auto"/>
                <w:sz w:val="28"/>
                <w:szCs w:val="28"/>
                <w:u w:val="single"/>
              </w:rPr>
              <w:t xml:space="preserve">                     </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法定代表人：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委托代理人：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电话</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color w:val="auto"/>
                <w:sz w:val="28"/>
                <w:szCs w:val="28"/>
                <w:u w:val="single"/>
              </w:rPr>
              <w:t xml:space="preserve">                   </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传真：</w:t>
            </w:r>
            <w:r>
              <w:rPr>
                <w:rFonts w:hint="eastAsia" w:ascii="宋体" w:hAnsi="宋体" w:eastAsia="宋体" w:cs="宋体"/>
                <w:color w:val="auto"/>
                <w:sz w:val="28"/>
                <w:szCs w:val="28"/>
                <w:u w:val="single"/>
              </w:rPr>
              <w:t xml:space="preserve">                            </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z w:val="28"/>
                <w:szCs w:val="28"/>
              </w:rPr>
              <w:t xml:space="preserve">电子信箱：</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p>
          <w:p>
            <w:pPr>
              <w:pStyle w:val="1343"/>
              <w:spacing w:after="50" w:line="360" w:lineRule="auto"/>
              <w:rPr>
                <w:rFonts w:hint="eastAsia" w:ascii="宋体" w:hAnsi="宋体" w:eastAsia="宋体" w:cs="宋体"/>
                <w:color w:val="auto"/>
                <w:spacing w:val="2"/>
                <w:sz w:val="28"/>
                <w:szCs w:val="28"/>
                <w:lang w:val="en-US" w:eastAsia="zh-CN"/>
              </w:rPr>
              <w:framePr w:hSpace="0" w:wrap="auto" w:vAnchor="margin" w:hAnchor="text" w:yAlign="inline"/>
            </w:pPr>
            <w:r>
              <w:rPr>
                <w:rFonts w:hint="eastAsia" w:ascii="宋体" w:hAnsi="宋体" w:eastAsia="宋体" w:cs="宋体"/>
                <w:color w:val="auto"/>
                <w:sz w:val="28"/>
                <w:szCs w:val="28"/>
              </w:rPr>
              <w:t xml:space="preserve">开户银行：</w:t>
            </w:r>
            <w:r>
              <w:rPr>
                <w:rFonts w:hint="eastAsia" w:ascii="宋体" w:hAnsi="宋体" w:eastAsia="宋体" w:cs="宋体"/>
                <w:sz w:val="28"/>
                <w:szCs w:val="28"/>
                <w:u w:val="single"/>
                <w:lang w:val="en-US" w:eastAsia="zh-CN"/>
              </w:rPr>
              <w:t xml:space="preserve">                 </w:t>
            </w:r>
            <w:r>
              <w:rPr>
                <w:rFonts w:hint="eastAsia" w:ascii="宋体" w:hAnsi="宋体" w:eastAsia="宋体" w:cs="宋体"/>
                <w:color w:val="auto"/>
                <w:spacing w:val="2"/>
                <w:sz w:val="28"/>
                <w:szCs w:val="28"/>
                <w:u w:val="single"/>
                <w:lang w:val="en-US" w:eastAsia="zh-CN"/>
              </w:rPr>
              <w:t xml:space="preserve">     </w:t>
            </w:r>
            <w:r/>
          </w:p>
          <w:p>
            <w:pPr>
              <w:pStyle w:val="1343"/>
              <w:spacing w:after="50" w:line="360" w:lineRule="auto"/>
              <w:rPr>
                <w:rFonts w:hint="eastAsia" w:ascii="宋体" w:hAnsi="宋体" w:eastAsia="宋体" w:cs="宋体"/>
                <w:color w:val="auto"/>
                <w:sz w:val="28"/>
                <w:szCs w:val="28"/>
              </w:rPr>
              <w:framePr w:hSpace="0" w:wrap="auto" w:vAnchor="margin" w:hAnchor="text" w:yAlign="inline"/>
            </w:pPr>
            <w:r>
              <w:rPr>
                <w:rFonts w:hint="eastAsia" w:ascii="宋体" w:hAnsi="宋体" w:eastAsia="宋体" w:cs="宋体"/>
                <w:color w:val="auto"/>
                <w:spacing w:val="-5"/>
                <w:sz w:val="28"/>
                <w:szCs w:val="28"/>
              </w:rPr>
              <w:t xml:space="preserve">账号：</w:t>
            </w:r>
            <w:r>
              <w:rPr>
                <w:rFonts w:hint="eastAsia" w:ascii="宋体" w:hAnsi="宋体" w:eastAsia="宋体" w:cs="宋体"/>
                <w:color w:val="auto"/>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rPr>
              <w:t xml:space="preserve">                 </w:t>
            </w:r>
            <w:r/>
          </w:p>
        </w:tc>
      </w:tr>
    </w:tbl>
    <w:p>
      <w:pPr>
        <w:jc w:val="center"/>
        <w:keepLines/>
        <w:keepNext/>
        <w:spacing w:line="360" w:lineRule="auto"/>
        <w:widowControl w:val="off"/>
        <w:rPr>
          <w:rFonts w:hint="eastAsia" w:ascii="宋体" w:hAnsi="宋体" w:eastAsia="宋体" w:cs="宋体"/>
          <w:b/>
          <w:bCs/>
          <w:sz w:val="32"/>
          <w:szCs w:val="44"/>
          <w:lang w:val="en-US" w:eastAsia="zh-CN" w:bidi="ar-SA"/>
        </w:rPr>
        <w:outlineLvl w:val="2"/>
      </w:pPr>
      <w:r>
        <w:rPr>
          <w:rFonts w:hint="eastAsia" w:ascii="宋体" w:hAnsi="宋体" w:eastAsia="宋体" w:cs="宋体"/>
          <w:b/>
          <w:bCs/>
          <w:sz w:val="21"/>
          <w:szCs w:val="32"/>
          <w:highlight w:val="white"/>
          <w:lang w:val="en-US" w:eastAsia="zh-CN" w:bidi="ar-SA"/>
        </w:rPr>
        <w:br w:type="page" w:clear="all"/>
      </w:r>
      <w:bookmarkStart w:id="18" w:name="_Toc498006745"/>
      <w:r>
        <w:rPr>
          <w:rFonts w:hint="eastAsia" w:ascii="宋体" w:hAnsi="宋体" w:eastAsia="宋体" w:cs="宋体"/>
          <w:b/>
          <w:bCs/>
          <w:color w:val="auto"/>
          <w:spacing w:val="-7"/>
          <w:sz w:val="40"/>
          <w:szCs w:val="40"/>
          <w:lang w:val="en-US" w:eastAsia="zh-CN"/>
        </w:rPr>
        <w:t xml:space="preserve">第二部分 通用合同条款</w:t>
      </w:r>
      <w:bookmarkEnd w:id="18"/>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jc w:val="center"/>
        <w:spacing w:line="360" w:lineRule="auto"/>
        <w:rPr>
          <w:rFonts w:hint="eastAsia" w:ascii="宋体" w:hAnsi="宋体" w:eastAsia="宋体" w:cs="宋体"/>
          <w:szCs w:val="21"/>
        </w:rPr>
      </w:pPr>
      <w:r>
        <w:rPr>
          <w:rFonts w:hint="eastAsia" w:ascii="宋体" w:hAnsi="宋体" w:eastAsia="宋体" w:cs="宋体"/>
          <w:b/>
          <w:szCs w:val="21"/>
        </w:rPr>
        <w:t xml:space="preserve">采用《建设工程施工合同（示范文本）》（GF—2017—0201）。</w:t>
      </w:r>
      <w:r/>
    </w:p>
    <w:p>
      <w:pPr>
        <w:ind w:right="-36" w:firstLine="529"/>
        <w:spacing w:line="540" w:lineRule="exact"/>
        <w:tabs>
          <w:tab w:val="left" w:pos="0" w:leader="none"/>
        </w:tabs>
        <w:rPr>
          <w:rFonts w:hint="eastAsia" w:ascii="宋体" w:hAnsi="宋体" w:eastAsia="宋体" w:cs="宋体"/>
          <w:highlight w:val="white"/>
        </w:rPr>
      </w:pPr>
      <w:r>
        <w:rPr>
          <w:rFonts w:hint="eastAsia" w:ascii="宋体" w:hAnsi="宋体" w:eastAsia="宋体" w:cs="宋体"/>
          <w:highlight w:val="white"/>
        </w:rPr>
      </w:r>
      <w:r/>
    </w:p>
    <w:p>
      <w:pPr>
        <w:jc w:val="center"/>
        <w:keepLines/>
        <w:keepNext/>
        <w:spacing w:line="360" w:lineRule="auto"/>
        <w:widowControl w:val="off"/>
        <w:rPr>
          <w:rFonts w:hint="eastAsia" w:ascii="宋体" w:hAnsi="宋体" w:eastAsia="宋体" w:cs="宋体"/>
          <w:b/>
          <w:bCs/>
          <w:sz w:val="28"/>
          <w:szCs w:val="44"/>
          <w:lang w:val="en-US" w:eastAsia="zh-CN" w:bidi="ar-SA"/>
        </w:rPr>
        <w:outlineLvl w:val="2"/>
      </w:pPr>
      <w:r>
        <w:rPr>
          <w:rFonts w:hint="eastAsia" w:ascii="宋体" w:hAnsi="宋体" w:eastAsia="宋体" w:cs="宋体"/>
          <w:b/>
          <w:bCs/>
          <w:sz w:val="21"/>
          <w:szCs w:val="32"/>
          <w:highlight w:val="white"/>
          <w:lang w:val="en-US" w:eastAsia="zh-CN" w:bidi="ar-SA"/>
        </w:rPr>
        <w:br w:type="page" w:clear="all"/>
      </w:r>
      <w:bookmarkStart w:id="19" w:name="_Toc498006746"/>
      <w:r>
        <w:rPr>
          <w:rFonts w:hint="eastAsia" w:ascii="宋体" w:hAnsi="宋体" w:eastAsia="宋体" w:cs="宋体"/>
          <w:b/>
          <w:bCs/>
          <w:color w:val="auto"/>
          <w:spacing w:val="-7"/>
          <w:sz w:val="40"/>
          <w:szCs w:val="40"/>
          <w:lang w:val="en-US" w:eastAsia="zh-CN"/>
        </w:rPr>
        <w:t xml:space="preserve">第三部分 专用合同条款</w:t>
      </w:r>
      <w:bookmarkEnd w:id="19"/>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20" w:name="_Toc351203633"/>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21" w:name="_Toc296503156"/>
      <w:r/>
      <w:bookmarkStart w:id="22" w:name="_Toc292559361"/>
      <w:r/>
      <w:bookmarkStart w:id="23" w:name="_Toc296346657"/>
      <w:r/>
      <w:bookmarkStart w:id="24" w:name="_Toc296944495"/>
      <w:r/>
      <w:bookmarkStart w:id="25" w:name="_Toc297120456"/>
      <w:r/>
      <w:bookmarkStart w:id="26" w:name="_Toc296347155"/>
      <w:r/>
      <w:bookmarkStart w:id="27" w:name="_Toc296891196"/>
      <w:r/>
      <w:bookmarkStart w:id="28" w:name="_Toc292559866"/>
      <w:r/>
      <w:bookmarkStart w:id="29" w:name="_Toc297048342"/>
      <w:r/>
      <w:bookmarkStart w:id="30" w:name="_Toc296890984"/>
      <w:r>
        <w:rPr>
          <w:rFonts w:hint="eastAsia" w:ascii="宋体" w:hAnsi="宋体" w:eastAsia="宋体" w:cs="宋体"/>
          <w:b w:val="0"/>
          <w:bCs/>
          <w:sz w:val="28"/>
          <w:szCs w:val="28"/>
          <w:lang w:val="en-US" w:eastAsia="zh-CN" w:bidi="ar-SA"/>
        </w:rPr>
        <w:t xml:space="preserve">第1条 一般约定</w:t>
      </w:r>
      <w:bookmarkEnd w:id="20"/>
      <w:r/>
      <w:bookmarkEnd w:id="21"/>
      <w:r/>
      <w:bookmarkEnd w:id="22"/>
      <w:r/>
      <w:bookmarkEnd w:id="23"/>
      <w:r/>
      <w:bookmarkEnd w:id="24"/>
      <w:r/>
      <w:bookmarkEnd w:id="25"/>
      <w:r/>
      <w:bookmarkEnd w:id="26"/>
      <w:r/>
      <w:bookmarkEnd w:id="27"/>
      <w:r/>
      <w:bookmarkEnd w:id="28"/>
      <w:r/>
      <w:bookmarkEnd w:id="29"/>
      <w:r/>
      <w:bookmarkEnd w:id="30"/>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1.1 词语定义</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1.1.1合同</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1.1.1.10</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其他合同文件包括：</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执行通用条款</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1.1.2 合同当事人及其他相关方</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1.1.2.4监理人：</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名    称：</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资质类别和等级：</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联系电话：</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电子信箱：</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通信地址：</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none"/>
          <w:lang w:eastAsia="zh-CN"/>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1.1.2.5 设计人：</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名    称：</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资质类别和等级：</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联系电话：</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电子信箱：</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通信地址：</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1.1.3 工程和设备</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1.1.3.7 作为施工现场组成部分的其他场所包括：</w:t>
      </w:r>
      <w:r>
        <w:rPr>
          <w:rFonts w:hint="eastAsia" w:ascii="宋体" w:hAnsi="宋体" w:eastAsia="宋体" w:cs="宋体"/>
          <w:sz w:val="28"/>
          <w:szCs w:val="28"/>
          <w:u w:val="single"/>
        </w:rPr>
        <w:t xml:space="preserve">规划红线范围内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1.1.3.9 永久占地包括：</w:t>
      </w:r>
      <w:r>
        <w:rPr>
          <w:rFonts w:hint="eastAsia" w:ascii="宋体" w:hAnsi="宋体" w:eastAsia="宋体" w:cs="宋体"/>
          <w:sz w:val="28"/>
          <w:szCs w:val="28"/>
          <w:u w:val="single"/>
        </w:rPr>
        <w:t xml:space="preserve">         规划红线范围内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1.1.3.10 临时占地包括：</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无</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1.3法律 </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适用于合同的其他规范性文件：</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《中华人民共和国招标投标法》及其他相关法律、法规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1.4 标准和规范</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1.4.1适用于工程的标准规范包括：</w:t>
      </w:r>
      <w:r>
        <w:rPr>
          <w:rFonts w:hint="eastAsia" w:ascii="宋体" w:hAnsi="宋体" w:eastAsia="宋体" w:cs="宋体"/>
          <w:sz w:val="28"/>
          <w:szCs w:val="28"/>
          <w:u w:val="single"/>
        </w:rPr>
        <w:t xml:space="preserve">国际规范及地方标准</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1.4.2 发包人提供国外标准、规范的名称：</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发包人提供国外标准、规范的份数：</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发包人提供国外标准、规范的名称：</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1.4.3发包人对工程的技术标准和功能要求的特殊要求：</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1.5 合同文件的优先顺序</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合同文件组成及优先顺序为：</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执行通用条款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1.6 图纸和承包人文件</w:t>
      </w:r>
      <w:r>
        <w:rPr>
          <w:rFonts w:hint="eastAsia" w:ascii="宋体" w:hAnsi="宋体" w:eastAsia="宋体" w:cs="宋体"/>
          <w:sz w:val="28"/>
          <w:szCs w:val="28"/>
        </w:rPr>
        <w:tab/>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1.6.1 图纸的提供</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发包人向承包人提供图纸的期限：</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开工前十四天内</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发包人向承包人提供图纸的数量：</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贰套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发包人向承包人提供图纸的内容：</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全部施工图纸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1.6.4 承包人文件</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需要由承包人提供的文件，包括：</w:t>
      </w:r>
      <w:r>
        <w:rPr>
          <w:rFonts w:hint="eastAsia" w:ascii="宋体" w:hAnsi="宋体" w:eastAsia="宋体" w:cs="宋体"/>
          <w:sz w:val="28"/>
          <w:szCs w:val="28"/>
          <w:u w:val="single"/>
        </w:rPr>
        <w:t xml:space="preserve">开工前提供施工组织设计和施工总进度计划，一式肆份，每个分部工程施工前15天向发包人提供该分部工程的详细进度计划。开工后每周五提供上周完成工作量及下周进度计划，每月25日前报送本月工程进度完成报表和次月的工程形象进度计划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承包人提供的文件的期限为：</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根据合同约定或发包人、监理人要求</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承包人提供的文件的数量为：</w:t>
      </w:r>
      <w:r>
        <w:rPr>
          <w:rFonts w:hint="eastAsia" w:ascii="宋体" w:hAnsi="宋体" w:eastAsia="宋体" w:cs="宋体"/>
          <w:sz w:val="28"/>
          <w:szCs w:val="28"/>
          <w:u w:val="single"/>
        </w:rPr>
        <w:t xml:space="preserve">根据合同约定或发包人、监理人要</w:t>
      </w:r>
      <w:r>
        <w:rPr>
          <w:rFonts w:hint="eastAsia" w:ascii="宋体" w:hAnsi="宋体" w:eastAsia="宋体" w:cs="宋体"/>
          <w:sz w:val="28"/>
          <w:szCs w:val="28"/>
          <w:u w:val="single"/>
          <w:lang w:val="en-US" w:eastAsia="zh-CN"/>
        </w:rPr>
        <w:t xml:space="preserve">求</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承包人提供的文件的形式为：</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书面</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发包人审批承包人文件的期限：</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收到文件后7天内审查完毕</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1.6.5 现场图纸准备</w:t>
      </w:r>
      <w:r/>
    </w:p>
    <w:p>
      <w:pPr>
        <w:ind w:left="0" w:firstLine="560"/>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关于现场图纸准备的约定：</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承包人应在施工现场另外保存一套完整的图纸和承包人文件，供发包人、监理人及有关人员进行工程检查时使用</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w:t>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1.7 联络</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1.7.1发包人和承包人应当在</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3    </w:t>
      </w:r>
      <w:r>
        <w:rPr>
          <w:rFonts w:hint="eastAsia" w:ascii="宋体" w:hAnsi="宋体" w:eastAsia="宋体" w:cs="宋体"/>
          <w:sz w:val="28"/>
          <w:szCs w:val="28"/>
        </w:rPr>
        <w:t xml:space="preserve">天内将与合同有关的通知、批准、证明、证书、指示、指令、要求、请求、同意、意见、确定和决定等书面函件送达对方当事人。</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1.7.2 发包人接收文件的地点：</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现场工程部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发包人指定的接收人为：</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承包人接收文件的地点：</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承包人指定的接收人为：</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监理人接收文件的地点：</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详见监理合同</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监理人指定的接收人为：</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详见监理合同</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1.10 交通运输</w:t>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w:t>
      </w:r>
      <w:bookmarkStart w:id="31" w:name="_Toc303539100"/>
      <w:r/>
      <w:bookmarkStart w:id="32" w:name="_Toc318581155"/>
      <w:r/>
      <w:bookmarkStart w:id="33" w:name="_Toc312677986"/>
      <w:r/>
      <w:bookmarkStart w:id="34" w:name="_Toc300934943"/>
      <w:r/>
      <w:bookmarkStart w:id="35" w:name="_Toc304295521"/>
      <w:r>
        <w:rPr>
          <w:rFonts w:hint="eastAsia" w:ascii="宋体" w:hAnsi="宋体" w:eastAsia="宋体" w:cs="宋体"/>
          <w:sz w:val="28"/>
          <w:szCs w:val="28"/>
        </w:rPr>
        <w:t xml:space="preserve">.10.1 出入现场的权利</w:t>
      </w:r>
      <w:r/>
    </w:p>
    <w:p>
      <w:pPr>
        <w:ind w:left="0" w:firstLine="560"/>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关于出入现场的权利的约定：</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承包人应在签订合同前查勘施工现场，并根据工程规模及技术参数合理预见工程施工所需的进出施工现场的方式、手段、路径等。因承包人未合理预见所增加的费用和（或）延误的工期由承包人承担</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w:t>
      </w:r>
      <w:bookmarkEnd w:id="31"/>
      <w:r/>
      <w:bookmarkEnd w:id="32"/>
      <w:r/>
      <w:bookmarkEnd w:id="33"/>
      <w:r/>
      <w:bookmarkEnd w:id="34"/>
      <w:r/>
      <w:bookmarkEnd w:id="35"/>
      <w:r/>
      <w:r/>
    </w:p>
    <w:p>
      <w:pPr>
        <w:ind w:left="0" w:firstLine="560"/>
        <w:jc w:val="left"/>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w:t>
      </w:r>
      <w:bookmarkStart w:id="36" w:name="_Toc318581156"/>
      <w:r/>
      <w:bookmarkStart w:id="37" w:name="_Toc304295522"/>
      <w:r/>
      <w:bookmarkStart w:id="38" w:name="_Toc303539101"/>
      <w:r/>
      <w:bookmarkStart w:id="39" w:name="_Toc312677987"/>
      <w:r/>
      <w:bookmarkStart w:id="40" w:name="_Toc300934944"/>
      <w:r>
        <w:rPr>
          <w:rFonts w:hint="eastAsia" w:ascii="宋体" w:hAnsi="宋体" w:eastAsia="宋体" w:cs="宋体"/>
          <w:sz w:val="28"/>
          <w:szCs w:val="28"/>
        </w:rPr>
        <w:t xml:space="preserve">.10.3 场内交通</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关于场外交通和场内交通的边界的约定：</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临时进场道路与场外公共道路的交界线</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关于发包人向承包人免费提供满足工程施工需要的场内道路和交通设施的约定：</w:t>
      </w:r>
      <w:r>
        <w:rPr>
          <w:rFonts w:hint="eastAsia" w:ascii="宋体" w:hAnsi="宋体" w:eastAsia="宋体" w:cs="宋体"/>
          <w:sz w:val="28"/>
          <w:szCs w:val="28"/>
          <w:u w:val="single"/>
        </w:rPr>
        <w:t xml:space="preserve">执行通用条款</w:t>
      </w:r>
      <w:r>
        <w:rPr>
          <w:rFonts w:hint="eastAsia" w:ascii="宋体" w:hAnsi="宋体" w:eastAsia="宋体" w:cs="宋体"/>
          <w:sz w:val="28"/>
          <w:szCs w:val="28"/>
        </w:rPr>
        <w:t xml:space="preserve">。</w:t>
      </w:r>
      <w:bookmarkEnd w:id="36"/>
      <w:r/>
      <w:bookmarkEnd w:id="37"/>
      <w:r/>
      <w:bookmarkEnd w:id="38"/>
      <w:r/>
      <w:bookmarkEnd w:id="39"/>
      <w:r/>
      <w:bookmarkEnd w:id="40"/>
      <w:r>
        <w:rPr>
          <w:rFonts w:hint="eastAsia" w:ascii="宋体" w:hAnsi="宋体" w:eastAsia="宋体" w:cs="宋体"/>
          <w:sz w:val="28"/>
          <w:szCs w:val="28"/>
        </w:rPr>
        <w:t xml:space="preserve">  </w:t>
      </w:r>
      <w:bookmarkStart w:id="41" w:name="_Toc318581157"/>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1.10.4超大件和超重件的运输</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运输超大件或超重件所需的道路和桥梁临时加固改造费用和其他有关费用由</w:t>
      </w:r>
      <w:r>
        <w:rPr>
          <w:rFonts w:hint="eastAsia" w:ascii="宋体" w:hAnsi="宋体" w:eastAsia="宋体" w:cs="宋体"/>
          <w:sz w:val="28"/>
          <w:szCs w:val="28"/>
          <w:u w:val="single"/>
        </w:rPr>
        <w:t xml:space="preserve"> 承包人 </w:t>
      </w:r>
      <w:r>
        <w:rPr>
          <w:rFonts w:hint="eastAsia" w:ascii="宋体" w:hAnsi="宋体" w:eastAsia="宋体" w:cs="宋体"/>
          <w:sz w:val="28"/>
          <w:szCs w:val="28"/>
        </w:rPr>
        <w:t xml:space="preserve">承担。</w:t>
      </w:r>
      <w:bookmarkEnd w:id="41"/>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1.11 知识产权</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执行通用条款</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关于发包人提供的上述文件的使用限制的要求：</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执行通用条款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1.11.2 关于承包人为实施工程所编制文件的著作权的归属：</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执行通用条款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关于承包人提供的上述文件的使用限制的要求：</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执行通用条款</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1.11.4 承包人在施工过程中所采用的专利、专有技术、技术秘密的使用费的承担方式：</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执行通用条款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1.13工程量清单错误的修正</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出现工程量清单错误时，是否调整合同价格：</w:t>
      </w:r>
      <w:r>
        <w:rPr>
          <w:rFonts w:hint="eastAsia" w:ascii="宋体" w:hAnsi="宋体" w:eastAsia="宋体" w:cs="宋体"/>
          <w:sz w:val="28"/>
          <w:szCs w:val="28"/>
          <w:u w:val="single"/>
        </w:rPr>
        <w:t xml:space="preserve">   调整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u w:val="single"/>
        </w:rPr>
        <w:outlineLvl w:val="0"/>
      </w:pPr>
      <w:r>
        <w:rPr>
          <w:rFonts w:hint="eastAsia" w:ascii="宋体" w:hAnsi="宋体" w:eastAsia="宋体" w:cs="宋体"/>
          <w:sz w:val="28"/>
          <w:szCs w:val="28"/>
        </w:rPr>
        <w:t xml:space="preserve">允许调整合同价格的工程量偏差范围：</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按经招标人认可的实际工程量结算。</w:t>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42" w:name="_Toc351203634"/>
      <w:r/>
      <w:bookmarkStart w:id="43" w:name="_Toc292559362"/>
      <w:r/>
      <w:bookmarkStart w:id="44" w:name="_Toc296944496"/>
      <w:r/>
      <w:bookmarkStart w:id="45" w:name="_Toc296347156"/>
      <w:r/>
      <w:bookmarkStart w:id="46" w:name="_Toc296346658"/>
      <w:r/>
      <w:bookmarkStart w:id="47" w:name="_Toc296890985"/>
      <w:r/>
      <w:bookmarkStart w:id="48" w:name="_Toc296503157"/>
      <w:r/>
      <w:bookmarkStart w:id="49" w:name="_Toc292559867"/>
      <w:r/>
      <w:bookmarkStart w:id="50" w:name="_Toc297048343"/>
      <w:r/>
      <w:bookmarkStart w:id="51" w:name="_Toc297120457"/>
      <w:r/>
      <w:bookmarkStart w:id="52" w:name="_Toc296891197"/>
      <w:r>
        <w:rPr>
          <w:rFonts w:hint="eastAsia" w:ascii="宋体" w:hAnsi="宋体" w:eastAsia="宋体" w:cs="宋体"/>
          <w:b w:val="0"/>
          <w:bCs/>
          <w:sz w:val="28"/>
          <w:szCs w:val="28"/>
          <w:lang w:val="en-US" w:eastAsia="zh-CN" w:bidi="ar-SA"/>
        </w:rPr>
        <w:t xml:space="preserve">第2条 发包人</w:t>
      </w:r>
      <w:bookmarkEnd w:id="42"/>
      <w:r/>
      <w:bookmarkEnd w:id="43"/>
      <w:r/>
      <w:bookmarkEnd w:id="44"/>
      <w:r/>
      <w:bookmarkEnd w:id="45"/>
      <w:r/>
      <w:bookmarkEnd w:id="46"/>
      <w:r/>
      <w:bookmarkEnd w:id="47"/>
      <w:r/>
      <w:bookmarkEnd w:id="48"/>
      <w:r/>
      <w:bookmarkEnd w:id="49"/>
      <w:r/>
      <w:bookmarkEnd w:id="50"/>
      <w:r/>
      <w:bookmarkEnd w:id="51"/>
      <w:r/>
      <w:bookmarkEnd w:id="52"/>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2.2 发包人代表</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发包人代表：</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姓    名：</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身份证号：</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职    务：</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联系电话：</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电子信箱：</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通信地址：</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b/>
          <w:sz w:val="28"/>
          <w:szCs w:val="28"/>
        </w:rPr>
      </w:pPr>
      <w:r>
        <w:rPr>
          <w:rFonts w:hint="eastAsia" w:ascii="宋体" w:hAnsi="宋体" w:eastAsia="宋体" w:cs="宋体"/>
          <w:sz w:val="28"/>
          <w:szCs w:val="28"/>
        </w:rPr>
        <w:t xml:space="preserve">发包人对发包人代表的授权范围如下：</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另行授权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2.4 施工现场、施工条件和基础资料的提供</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2.4.1 提供施工现场</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关于发包人移交施工现场的期限要求：</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开工前保证施工现场基本具备开工条件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2.4.2 提供施工条件</w:t>
      </w:r>
      <w:r/>
    </w:p>
    <w:p>
      <w:pPr>
        <w:ind w:left="0" w:firstLine="560"/>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关于发包人应负责提供施工所需要的条件，包括：</w:t>
      </w:r>
      <w:r>
        <w:rPr>
          <w:rFonts w:hint="eastAsia" w:ascii="宋体" w:hAnsi="宋体" w:eastAsia="宋体" w:cs="宋体"/>
          <w:sz w:val="28"/>
          <w:szCs w:val="28"/>
          <w:u w:val="single"/>
        </w:rPr>
        <w:t xml:space="preserve">发包人负责提供电源，由本工程承包人接入施工现场，设置分电源箱，并单独装表计量。从发包人提供的电源至施工用电设备线路的安装由承包人负责实施，安装费、线路、设备购置费及施工过程中发生的所有电费，无论承包人是否在投标报价中单独列支，发包人均认为此项费用包含在投标报价中。从水源至施工各用水点的管路安装、布置由承包人负责实施，其安装费、管材、设备购置费及施工过程中发生的所有水费，无论承包人是否在投标报价中单独列支，发包人均认为此项费用包含在投标报价</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u w:val="single"/>
          <w:lang w:val="en-US" w:eastAsia="zh-CN"/>
        </w:rPr>
        <w:t xml:space="preserve">承包人对以上内容予以认可</w:t>
      </w:r>
      <w:r>
        <w:rPr>
          <w:rFonts w:hint="eastAsia" w:ascii="宋体" w:hAnsi="宋体" w:eastAsia="宋体" w:cs="宋体"/>
          <w:sz w:val="28"/>
          <w:szCs w:val="28"/>
          <w:u w:val="single"/>
        </w:rPr>
        <w:t xml:space="preserve">。</w:t>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2.5 资金来源证明及支付担保</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发包人提供资金来源证明的期限要求：</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不约定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发包人是否提供支付担保：</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不提供</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发包人提供支付担保的形式：</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不约定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53" w:name="_Toc351203635"/>
      <w:r/>
      <w:bookmarkStart w:id="54" w:name="_Toc296944497"/>
      <w:r/>
      <w:bookmarkStart w:id="55" w:name="_Toc296503158"/>
      <w:r/>
      <w:bookmarkStart w:id="56" w:name="_Toc292559363"/>
      <w:r/>
      <w:bookmarkStart w:id="57" w:name="_Toc292559868"/>
      <w:r/>
      <w:bookmarkStart w:id="58" w:name="_Toc297120458"/>
      <w:r/>
      <w:bookmarkStart w:id="59" w:name="_Toc296890986"/>
      <w:r/>
      <w:bookmarkStart w:id="60" w:name="_Toc296347157"/>
      <w:r/>
      <w:bookmarkStart w:id="61" w:name="_Toc297048344"/>
      <w:r/>
      <w:bookmarkStart w:id="62" w:name="_Toc296891198"/>
      <w:r/>
      <w:bookmarkStart w:id="63" w:name="_Toc296346659"/>
      <w:r>
        <w:rPr>
          <w:rFonts w:hint="eastAsia" w:ascii="宋体" w:hAnsi="宋体" w:eastAsia="宋体" w:cs="宋体"/>
          <w:b w:val="0"/>
          <w:bCs/>
          <w:sz w:val="28"/>
          <w:szCs w:val="28"/>
          <w:lang w:val="en-US" w:eastAsia="zh-CN" w:bidi="ar-SA"/>
        </w:rPr>
        <w:t xml:space="preserve">第3条 承包人</w:t>
      </w:r>
      <w:bookmarkEnd w:id="53"/>
      <w:r/>
      <w:bookmarkEnd w:id="54"/>
      <w:r/>
      <w:bookmarkEnd w:id="55"/>
      <w:r/>
      <w:bookmarkEnd w:id="56"/>
      <w:r/>
      <w:bookmarkEnd w:id="57"/>
      <w:r/>
      <w:bookmarkEnd w:id="58"/>
      <w:r/>
      <w:bookmarkEnd w:id="59"/>
      <w:r/>
      <w:bookmarkEnd w:id="60"/>
      <w:r/>
      <w:bookmarkEnd w:id="61"/>
      <w:r/>
      <w:bookmarkEnd w:id="62"/>
      <w:r/>
      <w:bookmarkEnd w:id="63"/>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3.1 承包人的一般义务</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（9）</w:t>
      </w:r>
      <w:r>
        <w:rPr>
          <w:rFonts w:hint="eastAsia" w:ascii="宋体" w:hAnsi="宋体" w:eastAsia="宋体" w:cs="宋体"/>
          <w:sz w:val="28"/>
          <w:szCs w:val="28"/>
        </w:rPr>
        <w:t xml:space="preserve">承包人提交的竣工资料的内容：</w:t>
      </w:r>
      <w:r>
        <w:rPr>
          <w:rFonts w:hint="eastAsia" w:ascii="宋体" w:hAnsi="宋体" w:eastAsia="宋体" w:cs="宋体"/>
          <w:sz w:val="28"/>
          <w:szCs w:val="28"/>
          <w:u w:val="single"/>
        </w:rPr>
        <w:t xml:space="preserve">提供符合城建档案馆和行政质检监督部门要求的竣工图及竣工资料  。</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承包人需要提交的竣工资料套数：</w:t>
      </w:r>
      <w:r>
        <w:rPr>
          <w:rFonts w:hint="eastAsia" w:ascii="宋体" w:hAnsi="宋体" w:eastAsia="宋体" w:cs="宋体"/>
          <w:sz w:val="28"/>
          <w:szCs w:val="28"/>
          <w:u w:val="single"/>
        </w:rPr>
        <w:t xml:space="preserve">      肆套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承包人提交的竣工资料的费用承担：</w:t>
      </w:r>
      <w:r>
        <w:rPr>
          <w:rFonts w:hint="eastAsia" w:ascii="宋体" w:hAnsi="宋体" w:eastAsia="宋体" w:cs="宋体"/>
          <w:sz w:val="28"/>
          <w:szCs w:val="28"/>
          <w:u w:val="single"/>
        </w:rPr>
        <w:t xml:space="preserve">  承包人承担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承包人提交的竣工资料移交时间：</w:t>
      </w:r>
      <w:r>
        <w:rPr>
          <w:rFonts w:hint="eastAsia" w:ascii="宋体" w:hAnsi="宋体" w:eastAsia="宋体" w:cs="宋体"/>
          <w:sz w:val="28"/>
          <w:szCs w:val="28"/>
          <w:u w:val="single"/>
        </w:rPr>
        <w:t xml:space="preserve"> 工程竣工验收合格后15日内 。</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承包人提交的竣工资料形式要求：</w:t>
      </w:r>
      <w:r>
        <w:rPr>
          <w:rFonts w:hint="eastAsia" w:ascii="宋体" w:hAnsi="宋体" w:eastAsia="宋体" w:cs="宋体"/>
          <w:sz w:val="28"/>
          <w:szCs w:val="28"/>
          <w:u w:val="single"/>
        </w:rPr>
        <w:t xml:space="preserve">    电子文档及书面    。</w:t>
      </w:r>
      <w:r/>
    </w:p>
    <w:p>
      <w:pPr>
        <w:ind w:left="0" w:firstLine="560"/>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（10）承包人应履行的其他义务：</w:t>
      </w:r>
      <w:r>
        <w:rPr>
          <w:rFonts w:hint="eastAsia" w:ascii="宋体" w:hAnsi="宋体" w:eastAsia="宋体" w:cs="宋体"/>
          <w:sz w:val="28"/>
          <w:szCs w:val="28"/>
          <w:u w:val="single"/>
        </w:rPr>
        <w:t xml:space="preserve">承包人应保证所提供的资料符合档案管理归档要求，经发包人确认有不符合的，影响工程验收的按工程总价款的</w:t>
      </w:r>
      <w:r>
        <w:rPr>
          <w:rFonts w:hint="eastAsia" w:ascii="宋体" w:hAnsi="宋体" w:eastAsia="宋体" w:cs="宋体"/>
          <w:sz w:val="28"/>
          <w:szCs w:val="28"/>
          <w:u w:val="single"/>
          <w:lang w:val="en-US" w:eastAsia="zh-CN"/>
        </w:rPr>
        <w:t xml:space="preserve">1</w:t>
      </w:r>
      <w:r>
        <w:rPr>
          <w:rFonts w:hint="eastAsia" w:ascii="宋体" w:hAnsi="宋体" w:eastAsia="宋体" w:cs="宋体"/>
          <w:sz w:val="28"/>
          <w:szCs w:val="28"/>
          <w:u w:val="single"/>
        </w:rPr>
        <w:t xml:space="preserve">%向发包人支付违约金，并在5日内补齐有关资料；若承包人不能或无法提供符合档案管理归档要求的资料，发包人不予通过验收，不进行竣工结算</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3.2 项目经理</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3.2.1 </w:t>
      </w:r>
      <w:r>
        <w:rPr>
          <w:rFonts w:hint="eastAsia" w:ascii="宋体" w:hAnsi="宋体" w:eastAsia="宋体" w:cs="宋体"/>
          <w:sz w:val="28"/>
          <w:szCs w:val="28"/>
        </w:rPr>
        <w:t xml:space="preserve">项目经理：</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姓    名：</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身份证号：</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建造师执业资格等级：</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建造师注册证书号：</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建造师执业印章号：</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安全生产考核合格证书号：</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电子信箱：</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通信地址：</w:t>
      </w:r>
      <w:r>
        <w:rPr>
          <w:rFonts w:hint="eastAsia" w:ascii="宋体" w:hAnsi="宋体" w:eastAsia="宋体" w:cs="宋体"/>
          <w:sz w:val="28"/>
          <w:szCs w:val="28"/>
          <w:u w:val="single"/>
          <w:lang w:eastAsia="zh-CN"/>
        </w:rPr>
        <w:t xml:space="preserve">  </w:t>
      </w:r>
      <w:r>
        <w:rPr>
          <w:rFonts w:hint="eastAsia" w:ascii="宋体" w:hAnsi="宋体" w:eastAsia="宋体" w:cs="宋体"/>
          <w:b w:val="0"/>
          <w:bCs/>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承包人对项目经理的授权范围如下：</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日常事务执行权、现场管理权限、信息传递与沟通权、有限资源调配权、授权范围内的决策建议权</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关于项目经理每月在施工现场的时间要求：</w:t>
      </w:r>
      <w:r>
        <w:rPr>
          <w:rFonts w:hint="eastAsia" w:ascii="宋体" w:hAnsi="宋体" w:eastAsia="宋体" w:cs="宋体"/>
          <w:sz w:val="28"/>
          <w:szCs w:val="28"/>
          <w:u w:val="single"/>
        </w:rPr>
        <w:t xml:space="preserve">   每天在现场时间不得少于8小时，每周不少于5天，否则支付8000元/天的违约金；项目经理未经招标人批准不参加工程例会，每次需支付5000违约金，连续不参加工程例会的，从第三次起每次需支付50000元违约金；上述违约金从</w:t>
      </w:r>
      <w:r>
        <w:rPr>
          <w:rFonts w:hint="eastAsia" w:ascii="宋体" w:hAnsi="宋体" w:eastAsia="宋体" w:cs="宋体"/>
          <w:sz w:val="28"/>
          <w:szCs w:val="28"/>
          <w:u w:val="single"/>
          <w:lang w:val="en-US" w:eastAsia="zh-CN"/>
        </w:rPr>
        <w:t xml:space="preserve">工程款或</w:t>
      </w:r>
      <w:r>
        <w:rPr>
          <w:rFonts w:hint="eastAsia" w:ascii="宋体" w:hAnsi="宋体" w:eastAsia="宋体" w:cs="宋体"/>
          <w:sz w:val="28"/>
          <w:szCs w:val="28"/>
          <w:u w:val="single"/>
        </w:rPr>
        <w:t xml:space="preserve">履约保证金中扣除。</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承包人未提交劳动合同，以及没有为项目经理缴纳社会保险证明的违约责任：</w:t>
      </w:r>
      <w:r>
        <w:rPr>
          <w:rFonts w:hint="eastAsia" w:ascii="宋体" w:hAnsi="宋体" w:eastAsia="宋体" w:cs="宋体"/>
          <w:sz w:val="28"/>
          <w:szCs w:val="28"/>
          <w:u w:val="single"/>
        </w:rPr>
        <w:t xml:space="preserve">  项目经理无权履行职责，发包人有权要求更换项目经理，由此增加的费用和（或）延误的工期由承包人承担。    </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项目经理未经批准，擅自离开施工现场的违约责任： </w:t>
      </w:r>
      <w:r>
        <w:rPr>
          <w:rFonts w:hint="eastAsia" w:ascii="宋体" w:hAnsi="宋体" w:eastAsia="宋体" w:cs="宋体"/>
          <w:sz w:val="28"/>
          <w:szCs w:val="28"/>
          <w:u w:val="single"/>
        </w:rPr>
        <w:t xml:space="preserve">项目经理连续一周不到施工现场的，发包人有权报建筑主管部门更换承包人，且不承担任何责任</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3.2.3 承包人擅自更换项目经理的违约责任</w:t>
      </w:r>
      <w:r>
        <w:rPr>
          <w:rFonts w:hint="eastAsia" w:ascii="宋体" w:hAnsi="宋体" w:eastAsia="宋体" w:cs="宋体"/>
          <w:sz w:val="28"/>
          <w:szCs w:val="28"/>
        </w:rPr>
        <w:t xml:space="preserve">： </w:t>
      </w:r>
      <w:r>
        <w:rPr>
          <w:rFonts w:hint="eastAsia" w:ascii="宋体" w:hAnsi="宋体" w:eastAsia="宋体" w:cs="宋体"/>
          <w:sz w:val="28"/>
          <w:szCs w:val="28"/>
          <w:u w:val="single"/>
        </w:rPr>
        <w:t xml:space="preserve">项目经理非正当原因不得更换，否则需按照合同金额的5%向发包人支付违约金，直至解除与承包人签订的施工合同，所造成的一切损失由承包人承担。</w:t>
      </w:r>
      <w:r/>
    </w:p>
    <w:p>
      <w:pPr>
        <w:ind w:left="0" w:firstLine="560"/>
        <w:pageBreakBefore w:val="0"/>
        <w:spacing w:line="420" w:lineRule="exact"/>
        <w:rPr>
          <w:rFonts w:hint="eastAsia" w:ascii="宋体" w:hAnsi="宋体" w:eastAsia="宋体" w:cs="宋体"/>
          <w:sz w:val="28"/>
          <w:szCs w:val="28"/>
          <w:u w:val="single"/>
        </w:rPr>
        <w:outlineLvl w:val="0"/>
      </w:pPr>
      <w:r>
        <w:rPr>
          <w:rFonts w:hint="eastAsia" w:ascii="宋体" w:hAnsi="宋体" w:eastAsia="宋体" w:cs="宋体"/>
          <w:sz w:val="28"/>
          <w:szCs w:val="28"/>
        </w:rPr>
        <w:t xml:space="preserve">3.2.4 承包人无正当理由拒绝更换项目经理的违约责任：</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100000元/次违约金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3.3 承包人人员</w:t>
      </w:r>
      <w:r/>
    </w:p>
    <w:p>
      <w:pPr>
        <w:ind w:left="0" w:firstLine="560"/>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3.3.1 承包人提交项目管理机构及施工现场管理人员安排报告的期限：</w:t>
      </w:r>
      <w:r>
        <w:rPr>
          <w:rFonts w:hint="eastAsia" w:ascii="宋体" w:hAnsi="宋体" w:eastAsia="宋体" w:cs="宋体"/>
          <w:sz w:val="28"/>
          <w:szCs w:val="28"/>
          <w:u w:val="single"/>
        </w:rPr>
        <w:t xml:space="preserve"> 开工前3天 。</w:t>
      </w:r>
      <w:r/>
    </w:p>
    <w:p>
      <w:pPr>
        <w:ind w:left="0" w:firstLine="560"/>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3.3.3 承包人无正当理由拒绝撤换主要施工管理人员的违约责任：</w:t>
      </w:r>
      <w:r>
        <w:rPr>
          <w:rFonts w:hint="eastAsia" w:ascii="宋体" w:hAnsi="宋体" w:eastAsia="宋体" w:cs="宋体"/>
          <w:sz w:val="28"/>
          <w:szCs w:val="28"/>
          <w:u w:val="single"/>
        </w:rPr>
        <w:t xml:space="preserve"> 每天每人支付发包人</w:t>
      </w:r>
      <w:r>
        <w:rPr>
          <w:rFonts w:hint="eastAsia" w:ascii="宋体" w:hAnsi="宋体" w:eastAsia="宋体" w:cs="宋体"/>
          <w:sz w:val="28"/>
          <w:szCs w:val="28"/>
          <w:u w:val="single"/>
          <w:lang w:val="en-US" w:eastAsia="zh-CN"/>
        </w:rPr>
        <w:t xml:space="preserve">2000</w:t>
      </w:r>
      <w:r>
        <w:rPr>
          <w:rFonts w:hint="eastAsia" w:ascii="宋体" w:hAnsi="宋体" w:eastAsia="宋体" w:cs="宋体"/>
          <w:sz w:val="28"/>
          <w:szCs w:val="28"/>
          <w:u w:val="single"/>
        </w:rPr>
        <w:t xml:space="preserve">元违约金       。</w:t>
      </w:r>
      <w:r/>
    </w:p>
    <w:p>
      <w:pPr>
        <w:ind w:left="0" w:firstLine="560"/>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3.3.4 承包人主要施工管理人员离开施工现场的批准要求：</w:t>
      </w:r>
      <w:r>
        <w:rPr>
          <w:rFonts w:hint="eastAsia" w:ascii="宋体" w:hAnsi="宋体" w:eastAsia="宋体" w:cs="宋体"/>
          <w:sz w:val="28"/>
          <w:szCs w:val="28"/>
          <w:u w:val="single"/>
        </w:rPr>
        <w:t xml:space="preserve"> 经发包人同意方可离开，</w:t>
      </w:r>
      <w:r>
        <w:rPr>
          <w:rFonts w:hint="eastAsia" w:ascii="宋体" w:hAnsi="宋体" w:eastAsia="宋体" w:cs="宋体"/>
          <w:sz w:val="28"/>
          <w:szCs w:val="28"/>
          <w:u w:val="single"/>
          <w:lang w:val="en-US" w:eastAsia="zh-CN"/>
        </w:rPr>
        <w:t xml:space="preserve">未经同意</w:t>
      </w:r>
      <w:r>
        <w:rPr>
          <w:rFonts w:hint="eastAsia" w:ascii="宋体" w:hAnsi="宋体" w:eastAsia="宋体" w:cs="宋体"/>
          <w:sz w:val="28"/>
          <w:szCs w:val="28"/>
          <w:u w:val="single"/>
        </w:rPr>
        <w:t xml:space="preserve">每人/次</w:t>
      </w:r>
      <w:r>
        <w:rPr>
          <w:rFonts w:hint="eastAsia" w:ascii="宋体" w:hAnsi="宋体" w:eastAsia="宋体" w:cs="宋体"/>
          <w:sz w:val="28"/>
          <w:szCs w:val="28"/>
          <w:u w:val="single"/>
          <w:lang w:val="en-US" w:eastAsia="zh-CN"/>
        </w:rPr>
        <w:t xml:space="preserve">1</w:t>
      </w:r>
      <w:r>
        <w:rPr>
          <w:rFonts w:hint="eastAsia" w:ascii="宋体" w:hAnsi="宋体" w:eastAsia="宋体" w:cs="宋体"/>
          <w:sz w:val="28"/>
          <w:szCs w:val="28"/>
          <w:u w:val="single"/>
        </w:rPr>
        <w:t xml:space="preserve">000元并承担违约责任  。</w:t>
      </w:r>
      <w:r/>
    </w:p>
    <w:p>
      <w:pPr>
        <w:ind w:left="0" w:firstLine="560"/>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3.3.5承包人擅自更换主要施工管理人员的违约责任：</w:t>
      </w:r>
      <w:r>
        <w:rPr>
          <w:rFonts w:hint="eastAsia" w:ascii="宋体" w:hAnsi="宋体" w:eastAsia="宋体" w:cs="宋体"/>
          <w:sz w:val="28"/>
          <w:szCs w:val="28"/>
          <w:u w:val="single"/>
        </w:rPr>
        <w:t xml:space="preserve"> 无故不得更换 ，所造成的一切损失由承包人承担 。</w:t>
      </w:r>
      <w:r/>
    </w:p>
    <w:p>
      <w:pPr>
        <w:ind w:left="0" w:firstLine="560"/>
        <w:pageBreakBefore w:val="0"/>
        <w:spacing w:line="420" w:lineRule="exact"/>
        <w:rPr>
          <w:rFonts w:hint="eastAsia" w:ascii="宋体" w:hAnsi="宋体" w:eastAsia="宋体" w:cs="宋体"/>
          <w:sz w:val="28"/>
          <w:szCs w:val="28"/>
          <w:u w:val="single"/>
          <w:lang w:eastAsia="zh-CN"/>
        </w:rPr>
      </w:pPr>
      <w:r>
        <w:rPr>
          <w:rFonts w:hint="eastAsia" w:ascii="宋体" w:hAnsi="宋体" w:eastAsia="宋体" w:cs="宋体"/>
          <w:sz w:val="28"/>
          <w:szCs w:val="28"/>
        </w:rPr>
        <w:t xml:space="preserve">承包人主要施工管理人员擅自离开施工现场的违约责任：</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每人/次1000元并承担违约责任。    </w:t>
      </w:r>
      <w:r>
        <w:rPr>
          <w:rFonts w:hint="eastAsia" w:ascii="宋体" w:hAnsi="宋体" w:eastAsia="宋体" w:cs="宋体"/>
          <w:sz w:val="28"/>
          <w:szCs w:val="28"/>
          <w:u w:val="single"/>
          <w:lang w:eastAsia="zh-CN"/>
        </w:rPr>
        <w:t xml:space="preserve">  </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w:t>
      </w:r>
      <w:bookmarkStart w:id="64" w:name="_Toc296346660"/>
      <w:r/>
      <w:bookmarkStart w:id="65" w:name="_Toc312677988"/>
      <w:r/>
      <w:bookmarkStart w:id="66" w:name="_Toc297120459"/>
      <w:r/>
      <w:bookmarkStart w:id="67" w:name="_Toc292559364"/>
      <w:r/>
      <w:bookmarkStart w:id="68" w:name="_Toc297123492"/>
      <w:r/>
      <w:bookmarkStart w:id="69" w:name="_Toc304295523"/>
      <w:r/>
      <w:bookmarkStart w:id="70" w:name="_Toc292559869"/>
      <w:r/>
      <w:bookmarkStart w:id="71" w:name="_Toc296944498"/>
      <w:r/>
      <w:bookmarkStart w:id="72" w:name="_Toc300934945"/>
      <w:r/>
      <w:bookmarkStart w:id="73" w:name="_Toc296890987"/>
      <w:r/>
      <w:bookmarkStart w:id="74" w:name="_Toc303539102"/>
      <w:r/>
      <w:bookmarkStart w:id="75" w:name="_Toc296891199"/>
      <w:r/>
      <w:bookmarkStart w:id="76" w:name="_Toc297048345"/>
      <w:r/>
      <w:bookmarkStart w:id="77" w:name="_Toc296347158"/>
      <w:r/>
      <w:bookmarkStart w:id="78" w:name="_Toc297216151"/>
      <w:r/>
      <w:bookmarkStart w:id="79" w:name="_Toc296503159"/>
      <w:r>
        <w:rPr>
          <w:rFonts w:hint="eastAsia" w:ascii="宋体" w:hAnsi="宋体" w:eastAsia="宋体" w:cs="宋体"/>
          <w:sz w:val="28"/>
          <w:szCs w:val="28"/>
        </w:rPr>
        <w:t xml:space="preserve">.5 分包</w:t>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w:t>
      </w:r>
      <w:bookmarkStart w:id="80" w:name="_Toc297120460"/>
      <w:r/>
      <w:bookmarkStart w:id="81" w:name="_Toc300934946"/>
      <w:r/>
      <w:bookmarkStart w:id="82" w:name="_Toc297216152"/>
      <w:r/>
      <w:bookmarkStart w:id="83" w:name="_Toc304295524"/>
      <w:r/>
      <w:bookmarkStart w:id="84" w:name="_Toc292559365"/>
      <w:r/>
      <w:bookmarkStart w:id="85" w:name="_Toc296503160"/>
      <w:r/>
      <w:bookmarkStart w:id="86" w:name="_Toc296347159"/>
      <w:r/>
      <w:bookmarkStart w:id="87" w:name="_Toc303539103"/>
      <w:r/>
      <w:bookmarkStart w:id="88" w:name="_Toc297123493"/>
      <w:r/>
      <w:bookmarkStart w:id="89" w:name="_Toc296944499"/>
      <w:r/>
      <w:bookmarkStart w:id="90" w:name="_Toc297048346"/>
      <w:r/>
      <w:bookmarkStart w:id="91" w:name="_Toc296346661"/>
      <w:r/>
      <w:bookmarkStart w:id="92" w:name="_Toc296890988"/>
      <w:r/>
      <w:bookmarkStart w:id="93" w:name="_Toc296891200"/>
      <w:r/>
      <w:bookmarkStart w:id="94" w:name="_Toc292559870"/>
      <w:r/>
      <w:bookmarkStart w:id="95" w:name="_Toc318581158"/>
      <w:r/>
      <w:bookmarkStart w:id="96" w:name="_Toc312677989"/>
      <w:r>
        <w:rPr>
          <w:rFonts w:hint="eastAsia" w:ascii="宋体" w:hAnsi="宋体" w:eastAsia="宋体" w:cs="宋体"/>
          <w:sz w:val="28"/>
          <w:szCs w:val="28"/>
        </w:rPr>
        <w:t xml:space="preserve">.5.1 分包的一般约定</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禁止分包的工程包括：</w:t>
      </w:r>
      <w:r>
        <w:rPr>
          <w:rFonts w:hint="eastAsia" w:ascii="宋体" w:hAnsi="宋体" w:eastAsia="宋体" w:cs="宋体"/>
          <w:sz w:val="28"/>
          <w:szCs w:val="28"/>
          <w:u w:val="single"/>
          <w:lang w:eastAsia="zh-CN"/>
        </w:rPr>
        <w:t xml:space="preserve">  </w:t>
      </w:r>
      <w:r>
        <w:rPr>
          <w:rFonts w:hint="eastAsia" w:ascii="宋体" w:hAnsi="宋体" w:eastAsia="宋体" w:cs="宋体"/>
          <w:b/>
          <w:bCs/>
          <w:sz w:val="28"/>
          <w:szCs w:val="28"/>
          <w:u w:val="single"/>
        </w:rPr>
        <w:t xml:space="preserve">本工程禁止分包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主体结构、关键性工作的范围：</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w:t>
      </w:r>
      <w:bookmarkStart w:id="97" w:name="_Toc312677990"/>
      <w:r/>
      <w:bookmarkStart w:id="98" w:name="_Toc318581159"/>
      <w:r>
        <w:rPr>
          <w:rFonts w:hint="eastAsia" w:ascii="宋体" w:hAnsi="宋体" w:eastAsia="宋体" w:cs="宋体"/>
          <w:sz w:val="28"/>
          <w:szCs w:val="28"/>
        </w:rPr>
        <w:t xml:space="preserve">.5.2分包的确定</w:t>
      </w:r>
      <w:r/>
    </w:p>
    <w:p>
      <w:pPr>
        <w:ind w:left="0" w:firstLine="560"/>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允许分包的专业工程包括：</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其他关于分包的约定：</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3.5.4 分包合同价款</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关于分包合同价款支付的约定：</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bookmarkEnd w:id="97"/>
      <w:r/>
      <w:bookmarkEnd w:id="98"/>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3.6 工程照管与成品、半成品保护</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承包人负责照管工程及工程相关的材料、工程设备的起始时间：</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从工程开工至发包人同意交付使用，在此期间承包人负责照管工程。</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3.7 履约担保</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承包人是否提供履约担保：</w:t>
      </w:r>
      <w:r>
        <w:rPr>
          <w:rFonts w:hint="eastAsia" w:ascii="宋体" w:hAnsi="宋体" w:eastAsia="宋体" w:cs="宋体"/>
          <w:sz w:val="28"/>
          <w:szCs w:val="28"/>
          <w:u w:val="single"/>
        </w:rPr>
        <w:t xml:space="preserve">      提供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承包人提供履约担保的形式、金额及期限的：</w:t>
      </w:r>
      <w:r>
        <w:rPr>
          <w:rFonts w:hint="eastAsia" w:ascii="宋体" w:hAnsi="宋体" w:eastAsia="宋体" w:cs="宋体"/>
          <w:sz w:val="28"/>
          <w:szCs w:val="28"/>
          <w:u w:val="single"/>
        </w:rPr>
        <w:t xml:space="preserve">履约保证金的形式：网银、银行电汇或者保函（保险）（需支持网查）</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履约保证金的金额：中标价的10%。投标人在收到中标通知书领取通知后，须在 10日历天内向招标人足额提交履约保证金，否则招标人可以取消其中标资格。</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履约保证金的返还：待工程竣工验收合格后一次性无息返还履约保证金或者退还保函（保险）。</w:t>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99" w:name="_Toc296890990"/>
      <w:r/>
      <w:bookmarkStart w:id="100" w:name="_Toc296944501"/>
      <w:r/>
      <w:bookmarkStart w:id="101" w:name="_Toc297120462"/>
      <w:r/>
      <w:bookmarkStart w:id="102" w:name="_Toc296891202"/>
      <w:r/>
      <w:bookmarkStart w:id="103" w:name="_Toc292559871"/>
      <w:r/>
      <w:bookmarkStart w:id="104" w:name="_Toc267251413"/>
      <w:r/>
      <w:bookmarkStart w:id="105" w:name="_Toc292559366"/>
      <w:r/>
      <w:bookmarkStart w:id="106" w:name="_Toc296346663"/>
      <w:r/>
      <w:bookmarkStart w:id="107" w:name="_Toc296347161"/>
      <w:r/>
      <w:bookmarkStart w:id="108" w:name="_Toc297048348"/>
      <w:r/>
      <w:bookmarkStart w:id="109" w:name="_Toc296503162"/>
      <w:r/>
      <w:bookmarkStart w:id="110" w:name="_Toc351203636"/>
      <w:r>
        <w:rPr>
          <w:rFonts w:hint="eastAsia" w:ascii="宋体" w:hAnsi="宋体" w:eastAsia="宋体" w:cs="宋体"/>
          <w:b w:val="0"/>
          <w:bCs/>
          <w:sz w:val="28"/>
          <w:szCs w:val="28"/>
          <w:lang w:val="en-US" w:eastAsia="zh-CN" w:bidi="ar-SA"/>
        </w:rPr>
        <w:t xml:space="preserve">第4条 监</w:t>
      </w:r>
      <w:bookmarkEnd w:id="99"/>
      <w:r/>
      <w:bookmarkEnd w:id="100"/>
      <w:r/>
      <w:bookmarkEnd w:id="101"/>
      <w:r/>
      <w:bookmarkEnd w:id="102"/>
      <w:r/>
      <w:bookmarkEnd w:id="103"/>
      <w:r/>
      <w:bookmarkEnd w:id="104"/>
      <w:r/>
      <w:bookmarkEnd w:id="105"/>
      <w:r/>
      <w:bookmarkEnd w:id="106"/>
      <w:r/>
      <w:bookmarkEnd w:id="107"/>
      <w:r/>
      <w:bookmarkEnd w:id="108"/>
      <w:r/>
      <w:bookmarkEnd w:id="109"/>
      <w:r>
        <w:rPr>
          <w:rFonts w:hint="eastAsia" w:ascii="宋体" w:hAnsi="宋体" w:eastAsia="宋体" w:cs="宋体"/>
          <w:b w:val="0"/>
          <w:bCs/>
          <w:sz w:val="28"/>
          <w:szCs w:val="28"/>
          <w:lang w:val="en-US" w:eastAsia="zh-CN" w:bidi="ar-SA"/>
        </w:rPr>
        <w:t xml:space="preserve">理人</w:t>
      </w:r>
      <w:bookmarkEnd w:id="110"/>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4.1监理人的一般规定</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关于监理人的监理内容：</w:t>
      </w:r>
      <w:r>
        <w:rPr>
          <w:rFonts w:hint="eastAsia" w:ascii="宋体" w:hAnsi="宋体" w:eastAsia="宋体" w:cs="宋体"/>
          <w:sz w:val="28"/>
          <w:szCs w:val="28"/>
          <w:u w:val="single"/>
        </w:rPr>
        <w:t xml:space="preserve">        详见监理合同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关于监理人的监理权限：</w:t>
      </w:r>
      <w:r>
        <w:rPr>
          <w:rFonts w:hint="eastAsia" w:ascii="宋体" w:hAnsi="宋体" w:eastAsia="宋体" w:cs="宋体"/>
          <w:sz w:val="28"/>
          <w:szCs w:val="28"/>
          <w:u w:val="single"/>
        </w:rPr>
        <w:t xml:space="preserve">        详见监理合同             </w:t>
      </w:r>
      <w:r>
        <w:rPr>
          <w:rFonts w:hint="eastAsia" w:ascii="宋体" w:hAnsi="宋体" w:eastAsia="宋体" w:cs="宋体"/>
          <w:sz w:val="28"/>
          <w:szCs w:val="28"/>
        </w:rPr>
        <w:t xml:space="preserve">。 </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关于监理人在施工现场的办公场所、生活场所的提供和费用承担的约定：</w:t>
      </w:r>
      <w:r>
        <w:rPr>
          <w:rFonts w:hint="eastAsia" w:ascii="宋体" w:hAnsi="宋体" w:eastAsia="宋体" w:cs="宋体"/>
          <w:sz w:val="28"/>
          <w:szCs w:val="28"/>
          <w:u w:val="single"/>
        </w:rPr>
        <w:t xml:space="preserve"> 监理人在施工现场的办公场所、生活场所由承包人提供。</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4.2 监理人员</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总监理工程师：</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姓    名：</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职    务：</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监理工程师执业资格证书号：</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联系电话：</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电子信箱：</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通信地址：</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关于监理人的其他约定：</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4.4 商定或确定</w:t>
      </w:r>
      <w:r/>
    </w:p>
    <w:p>
      <w:pPr>
        <w:ind w:left="0" w:firstLine="560"/>
        <w:pageBreakBefore w:val="0"/>
        <w:spacing w:line="420" w:lineRule="exact"/>
        <w:rPr>
          <w:rFonts w:hint="eastAsia" w:ascii="宋体" w:hAnsi="宋体" w:eastAsia="宋体" w:cs="宋体"/>
          <w:sz w:val="28"/>
          <w:szCs w:val="28"/>
        </w:rPr>
      </w:pPr>
      <w:r/>
      <w:bookmarkStart w:id="111" w:name="_Toc267251418"/>
      <w:r>
        <w:rPr>
          <w:rFonts w:hint="eastAsia" w:ascii="宋体" w:hAnsi="宋体" w:eastAsia="宋体" w:cs="宋体"/>
          <w:sz w:val="28"/>
          <w:szCs w:val="28"/>
        </w:rPr>
        <w:t xml:space="preserve">在发包人和承包人不能通过协商达成一致意见时，发包人授权监理人对以下事项进行确定：</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bookmarkEnd w:id="111"/>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112" w:name="_Toc351203637"/>
      <w:r/>
      <w:bookmarkStart w:id="113" w:name="_Toc292559872"/>
      <w:r/>
      <w:bookmarkStart w:id="114" w:name="_Toc296891203"/>
      <w:r/>
      <w:bookmarkStart w:id="115" w:name="_Toc292559367"/>
      <w:r/>
      <w:bookmarkStart w:id="116" w:name="_Toc296503163"/>
      <w:r/>
      <w:bookmarkStart w:id="117" w:name="_Toc296347162"/>
      <w:r/>
      <w:bookmarkStart w:id="118" w:name="_Toc296346664"/>
      <w:r/>
      <w:bookmarkStart w:id="119" w:name="_Toc297120463"/>
      <w:r/>
      <w:bookmarkStart w:id="120" w:name="_Toc296890991"/>
      <w:r/>
      <w:bookmarkStart w:id="121" w:name="_Toc296944502"/>
      <w:r/>
      <w:bookmarkStart w:id="122" w:name="_Toc297048349"/>
      <w:r>
        <w:rPr>
          <w:rFonts w:hint="eastAsia" w:ascii="宋体" w:hAnsi="宋体" w:eastAsia="宋体" w:cs="宋体"/>
          <w:b w:val="0"/>
          <w:bCs/>
          <w:sz w:val="28"/>
          <w:szCs w:val="28"/>
          <w:lang w:val="en-US" w:eastAsia="zh-CN" w:bidi="ar-SA"/>
        </w:rPr>
        <w:t xml:space="preserve">第5条 工程质量</w:t>
      </w:r>
      <w:bookmarkEnd w:id="112"/>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5.1 质量要求</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5</w:t>
      </w:r>
      <w:bookmarkStart w:id="123" w:name="_Toc303539106"/>
      <w:r/>
      <w:bookmarkStart w:id="124" w:name="_Toc312677997"/>
      <w:r/>
      <w:bookmarkStart w:id="125" w:name="_Toc304295527"/>
      <w:r/>
      <w:bookmarkStart w:id="126" w:name="_Toc318581164"/>
      <w:r/>
      <w:bookmarkStart w:id="127" w:name="_Toc297123496"/>
      <w:r/>
      <w:bookmarkStart w:id="128" w:name="_Toc300934949"/>
      <w:r/>
      <w:bookmarkStart w:id="129" w:name="_Toc297216155"/>
      <w:r>
        <w:rPr>
          <w:rFonts w:hint="eastAsia" w:ascii="宋体" w:hAnsi="宋体" w:eastAsia="宋体" w:cs="宋体"/>
          <w:sz w:val="28"/>
          <w:szCs w:val="28"/>
        </w:rPr>
        <w:t xml:space="preserve">.1.1 特殊质量标准和要求：</w:t>
      </w:r>
      <w:r>
        <w:rPr>
          <w:rFonts w:hint="eastAsia" w:ascii="宋体" w:hAnsi="宋体" w:eastAsia="宋体" w:cs="宋体"/>
          <w:sz w:val="28"/>
          <w:szCs w:val="28"/>
          <w:u w:val="single"/>
        </w:rPr>
        <w:t xml:space="preserve">   工程质量标准必须符合现行国家有关工程施工质量验收规范和标准的要求。</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关于工程奖项的约定：</w:t>
      </w:r>
      <w:r>
        <w:rPr>
          <w:rFonts w:hint="eastAsia" w:ascii="宋体" w:hAnsi="宋体" w:eastAsia="宋体" w:cs="宋体"/>
          <w:sz w:val="28"/>
          <w:szCs w:val="28"/>
          <w:u w:val="single"/>
        </w:rPr>
        <w:t xml:space="preserve">       不约定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5.3 隐蔽工程检查</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5.3.2承包人提前通知监理人隐蔽工程检查的期限的约定：</w:t>
      </w:r>
      <w:r>
        <w:rPr>
          <w:rFonts w:hint="eastAsia" w:ascii="宋体" w:hAnsi="宋体" w:eastAsia="宋体" w:cs="宋体"/>
          <w:sz w:val="28"/>
          <w:szCs w:val="28"/>
          <w:u w:val="single"/>
        </w:rPr>
        <w:t xml:space="preserve"> 共同检查前48小时书面通知监理人。</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监理人不能按时进行检查时，应提前</w:t>
      </w:r>
      <w:r>
        <w:rPr>
          <w:rFonts w:hint="eastAsia" w:ascii="宋体" w:hAnsi="宋体" w:eastAsia="宋体" w:cs="宋体"/>
          <w:sz w:val="28"/>
          <w:szCs w:val="28"/>
          <w:u w:val="single"/>
        </w:rPr>
        <w:t xml:space="preserve">  12 </w:t>
      </w:r>
      <w:r>
        <w:rPr>
          <w:rFonts w:hint="eastAsia" w:ascii="宋体" w:hAnsi="宋体" w:eastAsia="宋体" w:cs="宋体"/>
          <w:sz w:val="28"/>
          <w:szCs w:val="28"/>
        </w:rPr>
        <w:t xml:space="preserve">小时提交书面延期要求。</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关于延期最长不得超过：</w:t>
      </w:r>
      <w:r>
        <w:rPr>
          <w:rFonts w:hint="eastAsia" w:ascii="宋体" w:hAnsi="宋体" w:eastAsia="宋体" w:cs="宋体"/>
          <w:sz w:val="28"/>
          <w:szCs w:val="28"/>
          <w:u w:val="single"/>
        </w:rPr>
        <w:t xml:space="preserve">  48 </w:t>
      </w:r>
      <w:r>
        <w:rPr>
          <w:rFonts w:hint="eastAsia" w:ascii="宋体" w:hAnsi="宋体" w:eastAsia="宋体" w:cs="宋体"/>
          <w:sz w:val="28"/>
          <w:szCs w:val="28"/>
        </w:rPr>
        <w:t xml:space="preserve">小时。</w:t>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130" w:name="_Toc351203638"/>
      <w:r>
        <w:rPr>
          <w:rFonts w:hint="eastAsia" w:ascii="宋体" w:hAnsi="宋体" w:eastAsia="宋体" w:cs="宋体"/>
          <w:b w:val="0"/>
          <w:bCs/>
          <w:sz w:val="28"/>
          <w:szCs w:val="28"/>
          <w:lang w:val="en-US" w:eastAsia="zh-CN" w:bidi="ar-SA"/>
        </w:rPr>
        <w:t xml:space="preserve">第6条 安全文明施工与环境保护</w:t>
      </w:r>
      <w:bookmarkEnd w:id="130"/>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6.1安全文明施工</w:t>
      </w:r>
      <w:r/>
    </w:p>
    <w:p>
      <w:pPr>
        <w:ind w:left="0" w:firstLine="560"/>
        <w:jc w:val="left"/>
        <w:pageBreakBefore w:val="0"/>
        <w:spacing w:line="420" w:lineRule="exact"/>
        <w:rPr>
          <w:rFonts w:hint="eastAsia" w:ascii="宋体" w:hAnsi="宋体" w:eastAsia="宋体" w:cs="宋体"/>
          <w:b/>
          <w:bCs/>
          <w:sz w:val="28"/>
          <w:szCs w:val="28"/>
          <w:u w:val="single"/>
        </w:rPr>
      </w:pPr>
      <w:r>
        <w:rPr>
          <w:rFonts w:hint="eastAsia" w:ascii="宋体" w:hAnsi="宋体" w:eastAsia="宋体" w:cs="宋体"/>
          <w:sz w:val="28"/>
          <w:szCs w:val="28"/>
        </w:rPr>
        <w:t xml:space="preserve">6.1.1 项目安全生产的达标目标及相应事项的约定：</w:t>
      </w:r>
      <w:r>
        <w:rPr>
          <w:rFonts w:hint="eastAsia" w:ascii="宋体" w:hAnsi="宋体" w:eastAsia="宋体" w:cs="宋体"/>
          <w:b/>
          <w:bCs/>
          <w:sz w:val="28"/>
          <w:szCs w:val="28"/>
          <w:u w:val="single"/>
        </w:rPr>
        <w:t xml:space="preserve">本工程要求全封闭围挡施工，建筑围挡达相关规范及文明城创建要求，喷雾防尘设施必须覆盖全部施工作业区。按照六个100%标准执行：施工现场围挡100%、施工道路硬化100%、裸土覆盖100%、现场喷淋设备100%、出入车辆冲洗100%、渣土车运输封闭100%，均包括在投标报价内。</w:t>
      </w:r>
      <w:r/>
    </w:p>
    <w:p>
      <w:pPr>
        <w:ind w:left="0" w:firstLine="560"/>
        <w:jc w:val="left"/>
        <w:pageBreakBefore w:val="0"/>
        <w:spacing w:line="420" w:lineRule="exact"/>
        <w:rPr>
          <w:rFonts w:hint="eastAsia" w:ascii="宋体" w:hAnsi="宋体" w:eastAsia="宋体" w:cs="宋体"/>
          <w:b/>
          <w:bCs/>
          <w:sz w:val="28"/>
          <w:szCs w:val="28"/>
          <w:u w:val="single"/>
        </w:rPr>
      </w:pPr>
      <w:r>
        <w:rPr>
          <w:rFonts w:hint="eastAsia" w:ascii="宋体" w:hAnsi="宋体" w:eastAsia="宋体" w:cs="宋体"/>
          <w:sz w:val="28"/>
          <w:szCs w:val="28"/>
        </w:rPr>
        <w:t xml:space="preserve">6.1.4 关于治安保卫的特别约定：</w:t>
      </w:r>
      <w:r>
        <w:rPr>
          <w:rFonts w:hint="eastAsia" w:ascii="宋体" w:hAnsi="宋体" w:eastAsia="宋体" w:cs="宋体"/>
          <w:sz w:val="28"/>
          <w:szCs w:val="28"/>
          <w:u w:val="single"/>
        </w:rPr>
        <w:t xml:space="preserve"> </w:t>
      </w:r>
      <w:r>
        <w:rPr>
          <w:rFonts w:hint="eastAsia" w:ascii="宋体" w:hAnsi="宋体" w:eastAsia="宋体" w:cs="宋体"/>
          <w:b/>
          <w:bCs/>
          <w:sz w:val="28"/>
          <w:szCs w:val="28"/>
          <w:u w:val="single"/>
        </w:rPr>
        <w:t xml:space="preserve"> 建筑安装工程安全施工措施费用已含在中标合同总价内，应专款专用，承包人不准挪作它用，承包人应按工程要求提供和维护施工照明、看守、围栏和警示。因承包人未履行上述义务造成的工程财产损失及人身伤害，由承包人承担法律责任并承担因此而发生的所有费用。</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关于编制施工场地治安管理计划的约定：</w:t>
      </w:r>
      <w:r>
        <w:rPr>
          <w:rFonts w:hint="eastAsia" w:ascii="宋体" w:hAnsi="宋体" w:eastAsia="宋体" w:cs="宋体"/>
          <w:sz w:val="28"/>
          <w:szCs w:val="28"/>
          <w:u w:val="single"/>
        </w:rPr>
        <w:t xml:space="preserve">  由承包人编制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6.1.5 文明施工</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合同当事人对文明施工的要求：</w:t>
      </w:r>
      <w:r>
        <w:rPr>
          <w:rFonts w:hint="eastAsia" w:ascii="宋体" w:hAnsi="宋体" w:eastAsia="宋体" w:cs="宋体"/>
          <w:sz w:val="28"/>
          <w:szCs w:val="28"/>
          <w:u w:val="single"/>
        </w:rPr>
        <w:t xml:space="preserve">  执行通用条款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6.1.6 关于安全文明施工费支付比例和支付期限的约定：</w:t>
      </w:r>
      <w:r>
        <w:rPr>
          <w:rFonts w:hint="eastAsia" w:ascii="宋体" w:hAnsi="宋体" w:eastAsia="宋体" w:cs="宋体"/>
          <w:sz w:val="28"/>
          <w:szCs w:val="28"/>
          <w:u w:val="single"/>
        </w:rPr>
        <w:t xml:space="preserve"> 同工程款支付比例及支付期限 。</w:t>
      </w:r>
      <w:bookmarkEnd w:id="123"/>
      <w:r/>
      <w:bookmarkEnd w:id="124"/>
      <w:r/>
      <w:bookmarkEnd w:id="125"/>
      <w:r/>
      <w:bookmarkEnd w:id="126"/>
      <w:r/>
      <w:bookmarkEnd w:id="127"/>
      <w:r/>
      <w:bookmarkEnd w:id="128"/>
      <w:r/>
      <w:bookmarkEnd w:id="129"/>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131" w:name="_Toc351203639"/>
      <w:r>
        <w:rPr>
          <w:rFonts w:hint="eastAsia" w:ascii="宋体" w:hAnsi="宋体" w:eastAsia="宋体" w:cs="宋体"/>
          <w:b w:val="0"/>
          <w:bCs/>
          <w:sz w:val="28"/>
          <w:szCs w:val="28"/>
          <w:lang w:val="en-US" w:eastAsia="zh-CN" w:bidi="ar-SA"/>
        </w:rPr>
        <w:t xml:space="preserve">第7条 工期和进度</w:t>
      </w:r>
      <w:bookmarkEnd w:id="131"/>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7.1 施工组织设计</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7.1.1 合</w:t>
      </w:r>
      <w:r>
        <w:rPr>
          <w:rFonts w:hint="eastAsia" w:ascii="宋体" w:hAnsi="宋体" w:eastAsia="宋体" w:cs="宋体"/>
          <w:sz w:val="28"/>
          <w:szCs w:val="28"/>
        </w:rPr>
        <w:t xml:space="preserve">同当事人约定的施工组织设计应包括的其他内容：</w:t>
      </w:r>
      <w:r>
        <w:rPr>
          <w:rFonts w:hint="eastAsia" w:ascii="宋体" w:hAnsi="宋体" w:eastAsia="宋体" w:cs="宋体"/>
          <w:sz w:val="28"/>
          <w:szCs w:val="28"/>
          <w:u w:val="single"/>
        </w:rPr>
        <w:t xml:space="preserve"> 执行通用条款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7.1.2 </w:t>
      </w:r>
      <w:r>
        <w:rPr>
          <w:rFonts w:hint="eastAsia" w:ascii="宋体" w:hAnsi="宋体" w:eastAsia="宋体" w:cs="宋体"/>
          <w:sz w:val="28"/>
          <w:szCs w:val="28"/>
        </w:rPr>
        <w:t xml:space="preserve">施工组织设计的提交和修改</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承包人提交详细施工组织设计的期限的约定：</w:t>
      </w:r>
      <w:r>
        <w:rPr>
          <w:rFonts w:hint="eastAsia" w:ascii="宋体" w:hAnsi="宋体" w:eastAsia="宋体" w:cs="宋体"/>
          <w:sz w:val="28"/>
          <w:szCs w:val="28"/>
          <w:u w:val="single"/>
        </w:rPr>
        <w:t xml:space="preserve"> 执行通用条款</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发包人和监理人在收到详细的施工组织设计后确认或提出修改意见的期限：</w:t>
      </w:r>
      <w:r>
        <w:rPr>
          <w:rFonts w:hint="eastAsia" w:ascii="宋体" w:hAnsi="宋体" w:eastAsia="宋体" w:cs="宋体"/>
          <w:sz w:val="28"/>
          <w:szCs w:val="28"/>
          <w:u w:val="single"/>
        </w:rPr>
        <w:t xml:space="preserve"> 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  。</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7</w:t>
      </w:r>
      <w:bookmarkStart w:id="132" w:name="_Toc304295541"/>
      <w:r/>
      <w:bookmarkStart w:id="133" w:name="_Toc300934966"/>
      <w:r/>
      <w:bookmarkStart w:id="134" w:name="_Toc297123514"/>
      <w:r/>
      <w:bookmarkStart w:id="135" w:name="_Toc297216173"/>
      <w:r/>
      <w:bookmarkStart w:id="136" w:name="_Toc312678005"/>
      <w:r/>
      <w:bookmarkStart w:id="137" w:name="_Toc303539123"/>
      <w:r/>
      <w:bookmarkStart w:id="138" w:name="_Toc312677479"/>
      <w:r>
        <w:rPr>
          <w:rFonts w:hint="eastAsia" w:ascii="宋体" w:hAnsi="宋体" w:eastAsia="宋体" w:cs="宋体"/>
          <w:sz w:val="28"/>
          <w:szCs w:val="28"/>
        </w:rPr>
        <w:t xml:space="preserve">.2 施工进度计划</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7.2.2 施工进度计划的修订</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发包人和监理人在收到修订的施工进度计划后确认或提出修改意见的期限</w:t>
      </w:r>
      <w:r>
        <w:rPr>
          <w:rFonts w:hint="eastAsia" w:ascii="宋体" w:hAnsi="宋体" w:eastAsia="宋体" w:cs="宋体"/>
          <w:sz w:val="28"/>
          <w:szCs w:val="28"/>
          <w:u w:val="single"/>
        </w:rPr>
        <w:t xml:space="preserve">： 发包人和监理人应在收到修订的施工进度计划后7天内完成审核和批准或提出修改意见。发包人和监理人对承包人提交的施工进度计划的确认，不能减轻或免除承包人根据法律规定和合同约定应承担的任何责任或义务  。</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7.3 开工</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7.3.1 开工准备</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关于承包人提交</w:t>
      </w:r>
      <w:r>
        <w:rPr>
          <w:rFonts w:hint="eastAsia" w:ascii="宋体" w:hAnsi="宋体" w:eastAsia="宋体" w:cs="宋体"/>
          <w:sz w:val="28"/>
          <w:szCs w:val="28"/>
        </w:rPr>
        <w:t xml:space="preserve">工程开工报审表的期限：</w:t>
      </w:r>
      <w:r>
        <w:rPr>
          <w:rFonts w:hint="eastAsia" w:ascii="宋体" w:hAnsi="宋体" w:eastAsia="宋体" w:cs="宋体"/>
          <w:sz w:val="28"/>
          <w:szCs w:val="28"/>
          <w:u w:val="single"/>
        </w:rPr>
        <w:t xml:space="preserve">    按照批准的施工组织设计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关于发包人应完成的其他开工准备工作及期限：</w:t>
      </w:r>
      <w:r>
        <w:rPr>
          <w:rFonts w:hint="eastAsia" w:ascii="宋体" w:hAnsi="宋体" w:eastAsia="宋体" w:cs="宋体"/>
          <w:sz w:val="28"/>
          <w:szCs w:val="28"/>
          <w:u w:val="single"/>
        </w:rPr>
        <w:t xml:space="preserve">  不约定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关于承包人应完成的其他开工准备工作及期限：</w:t>
      </w:r>
      <w:r>
        <w:rPr>
          <w:rFonts w:hint="eastAsia" w:ascii="宋体" w:hAnsi="宋体" w:eastAsia="宋体" w:cs="宋体"/>
          <w:sz w:val="28"/>
          <w:szCs w:val="28"/>
          <w:u w:val="single"/>
        </w:rPr>
        <w:t xml:space="preserve">    不约定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7.3.2开工通知</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因发包人原因造成监理人未能在计划开工日期之日起</w:t>
      </w:r>
      <w:r>
        <w:rPr>
          <w:rFonts w:hint="eastAsia" w:ascii="宋体" w:hAnsi="宋体" w:eastAsia="宋体" w:cs="宋体"/>
          <w:sz w:val="28"/>
          <w:szCs w:val="28"/>
          <w:u w:val="single"/>
        </w:rPr>
        <w:t xml:space="preserve"> 90  </w:t>
      </w:r>
      <w:r>
        <w:rPr>
          <w:rFonts w:hint="eastAsia" w:ascii="宋体" w:hAnsi="宋体" w:eastAsia="宋体" w:cs="宋体"/>
          <w:sz w:val="28"/>
          <w:szCs w:val="28"/>
        </w:rPr>
        <w:t xml:space="preserve">天内发出开工通知的，承包人有权提出价格调整要求，或者解除合同。</w:t>
      </w:r>
      <w:bookmarkEnd w:id="132"/>
      <w:r/>
      <w:bookmarkEnd w:id="133"/>
      <w:r/>
      <w:bookmarkEnd w:id="134"/>
      <w:r/>
      <w:bookmarkEnd w:id="135"/>
      <w:r/>
      <w:bookmarkEnd w:id="136"/>
      <w:r/>
      <w:bookmarkEnd w:id="137"/>
      <w:r/>
      <w:bookmarkEnd w:id="138"/>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7.4 测量放线</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7.4.1发包人通过监理人向承包人提供测量基准点、基准线和水准点及其书面资料的期限：</w:t>
      </w:r>
      <w:r>
        <w:rPr>
          <w:rFonts w:hint="eastAsia" w:ascii="宋体" w:hAnsi="宋体" w:eastAsia="宋体" w:cs="宋体"/>
          <w:sz w:val="28"/>
          <w:szCs w:val="28"/>
          <w:u w:val="single"/>
        </w:rPr>
        <w:t xml:space="preserve">         开工前7天  。</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7</w:t>
      </w:r>
      <w:bookmarkStart w:id="139" w:name="_Toc297216175"/>
      <w:r/>
      <w:bookmarkStart w:id="140" w:name="_Toc304295546"/>
      <w:r/>
      <w:bookmarkStart w:id="141" w:name="_Toc297123516"/>
      <w:r/>
      <w:bookmarkStart w:id="142" w:name="_Toc312678010"/>
      <w:r/>
      <w:bookmarkStart w:id="143" w:name="_Toc303539125"/>
      <w:r/>
      <w:bookmarkStart w:id="144" w:name="_Toc300934968"/>
      <w:r/>
      <w:bookmarkStart w:id="145" w:name="_Toc312677484"/>
      <w:r>
        <w:rPr>
          <w:rFonts w:hint="eastAsia" w:ascii="宋体" w:hAnsi="宋体" w:eastAsia="宋体" w:cs="宋体"/>
          <w:sz w:val="28"/>
          <w:szCs w:val="28"/>
        </w:rPr>
        <w:t xml:space="preserve">.5 工期延误</w:t>
      </w:r>
      <w:bookmarkEnd w:id="139"/>
      <w:r/>
      <w:bookmarkEnd w:id="140"/>
      <w:r/>
      <w:bookmarkEnd w:id="141"/>
      <w:r/>
      <w:bookmarkEnd w:id="142"/>
      <w:r/>
      <w:bookmarkEnd w:id="143"/>
      <w:r/>
      <w:bookmarkEnd w:id="144"/>
      <w:r/>
      <w:bookmarkEnd w:id="145"/>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7.5.1 因发包人原因导致工期延误</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（7）因发包人原因导致工期延误的其他情形：</w:t>
      </w:r>
      <w:r>
        <w:rPr>
          <w:rFonts w:hint="eastAsia" w:ascii="宋体" w:hAnsi="宋体" w:eastAsia="宋体" w:cs="宋体"/>
          <w:sz w:val="28"/>
          <w:szCs w:val="28"/>
          <w:u w:val="single"/>
        </w:rPr>
        <w:t xml:space="preserve"> 给予调整合同工期。</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7</w:t>
      </w:r>
      <w:bookmarkStart w:id="146" w:name="_Toc312678012"/>
      <w:r/>
      <w:bookmarkStart w:id="147" w:name="_Toc318581169"/>
      <w:r/>
      <w:bookmarkStart w:id="148" w:name="_Toc312677486"/>
      <w:r/>
      <w:bookmarkStart w:id="149" w:name="_Toc300934970"/>
      <w:r/>
      <w:bookmarkStart w:id="150" w:name="_Toc304295548"/>
      <w:r/>
      <w:bookmarkStart w:id="151" w:name="_Toc297123518"/>
      <w:r/>
      <w:bookmarkStart w:id="152" w:name="_Toc303539127"/>
      <w:r/>
      <w:bookmarkStart w:id="153" w:name="_Toc297216177"/>
      <w:r>
        <w:rPr>
          <w:rFonts w:hint="eastAsia" w:ascii="宋体" w:hAnsi="宋体" w:eastAsia="宋体" w:cs="宋体"/>
          <w:sz w:val="28"/>
          <w:szCs w:val="28"/>
        </w:rPr>
        <w:t xml:space="preserve">.5.2 因承包人原因导致工期延误</w:t>
      </w:r>
      <w:bookmarkEnd w:id="146"/>
      <w:r/>
      <w:bookmarkEnd w:id="147"/>
      <w:r/>
      <w:bookmarkEnd w:id="148"/>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因</w:t>
      </w:r>
      <w:bookmarkStart w:id="154" w:name="_Toc318581170"/>
      <w:r/>
      <w:bookmarkStart w:id="155" w:name="_Toc312677487"/>
      <w:r/>
      <w:bookmarkStart w:id="156" w:name="_Toc312678013"/>
      <w:r>
        <w:rPr>
          <w:rFonts w:hint="eastAsia" w:ascii="宋体" w:hAnsi="宋体" w:eastAsia="宋体" w:cs="宋体"/>
          <w:sz w:val="28"/>
          <w:szCs w:val="28"/>
        </w:rPr>
        <w:t xml:space="preserve">承包人原因造成工期延误，逾期竣工违约金的计算方法为：</w:t>
      </w:r>
      <w:r>
        <w:rPr>
          <w:rFonts w:hint="eastAsia" w:ascii="宋体" w:hAnsi="宋体" w:eastAsia="宋体" w:cs="宋体"/>
          <w:sz w:val="28"/>
          <w:szCs w:val="28"/>
          <w:u w:val="single"/>
        </w:rPr>
        <w:t xml:space="preserve">中标人合同工期每延误一天扣20000元工程款并承担违约责任。</w:t>
      </w:r>
      <w:bookmarkEnd w:id="149"/>
      <w:r/>
      <w:bookmarkEnd w:id="150"/>
      <w:r/>
      <w:bookmarkEnd w:id="151"/>
      <w:r/>
      <w:bookmarkEnd w:id="152"/>
      <w:r/>
      <w:bookmarkEnd w:id="153"/>
      <w:r/>
      <w:bookmarkEnd w:id="154"/>
      <w:r/>
      <w:bookmarkEnd w:id="155"/>
      <w:r/>
      <w:bookmarkEnd w:id="156"/>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因承包人原因造成工期延误，逾</w:t>
      </w:r>
      <w:bookmarkStart w:id="157" w:name="_Toc312678014"/>
      <w:r/>
      <w:bookmarkStart w:id="158" w:name="_Toc318581171"/>
      <w:r>
        <w:rPr>
          <w:rFonts w:hint="eastAsia" w:ascii="宋体" w:hAnsi="宋体" w:eastAsia="宋体" w:cs="宋体"/>
          <w:sz w:val="28"/>
          <w:szCs w:val="28"/>
        </w:rPr>
        <w:t xml:space="preserve">期竣工违约金的上限：</w:t>
      </w:r>
      <w:r>
        <w:rPr>
          <w:rFonts w:hint="eastAsia" w:ascii="宋体" w:hAnsi="宋体" w:eastAsia="宋体" w:cs="宋体"/>
          <w:sz w:val="28"/>
          <w:szCs w:val="28"/>
          <w:u w:val="single"/>
        </w:rPr>
        <w:t xml:space="preserve"> 无上限  </w:t>
      </w:r>
      <w:r>
        <w:rPr>
          <w:rFonts w:hint="eastAsia" w:ascii="宋体" w:hAnsi="宋体" w:eastAsia="宋体" w:cs="宋体"/>
          <w:sz w:val="28"/>
          <w:szCs w:val="28"/>
        </w:rPr>
        <w:t xml:space="preserve">。</w:t>
      </w:r>
      <w:bookmarkEnd w:id="157"/>
      <w:r/>
      <w:bookmarkEnd w:id="158"/>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7</w:t>
      </w:r>
      <w:bookmarkStart w:id="159" w:name="_Toc300934971"/>
      <w:r/>
      <w:bookmarkStart w:id="160" w:name="_Toc304295549"/>
      <w:r/>
      <w:bookmarkStart w:id="161" w:name="_Toc312678015"/>
      <w:r/>
      <w:bookmarkStart w:id="162" w:name="_Toc297123519"/>
      <w:r/>
      <w:bookmarkStart w:id="163" w:name="_Toc303539128"/>
      <w:r/>
      <w:bookmarkStart w:id="164" w:name="_Toc297216178"/>
      <w:r>
        <w:rPr>
          <w:rFonts w:hint="eastAsia" w:ascii="宋体" w:hAnsi="宋体" w:eastAsia="宋体" w:cs="宋体"/>
          <w:sz w:val="28"/>
          <w:szCs w:val="28"/>
        </w:rPr>
        <w:t xml:space="preserve">.6 不</w:t>
      </w:r>
      <w:bookmarkEnd w:id="159"/>
      <w:r/>
      <w:bookmarkEnd w:id="160"/>
      <w:r/>
      <w:bookmarkEnd w:id="161"/>
      <w:r/>
      <w:bookmarkEnd w:id="162"/>
      <w:r/>
      <w:bookmarkEnd w:id="163"/>
      <w:r/>
      <w:bookmarkEnd w:id="164"/>
      <w:r>
        <w:rPr>
          <w:rFonts w:hint="eastAsia" w:ascii="宋体" w:hAnsi="宋体" w:eastAsia="宋体" w:cs="宋体"/>
          <w:sz w:val="28"/>
          <w:szCs w:val="28"/>
        </w:rPr>
        <w:t xml:space="preserve">利物质条件</w:t>
      </w:r>
      <w:r/>
    </w:p>
    <w:p>
      <w:pPr>
        <w:ind w:left="0" w:firstLine="560"/>
        <w:jc w:val="left"/>
        <w:pageBreakBefore w:val="0"/>
        <w:spacing w:line="420" w:lineRule="exact"/>
        <w:rPr>
          <w:rFonts w:hint="eastAsia" w:ascii="宋体" w:hAnsi="宋体" w:eastAsia="宋体" w:cs="宋体"/>
          <w:sz w:val="28"/>
          <w:szCs w:val="28"/>
        </w:rPr>
      </w:pPr>
      <w:r/>
      <w:bookmarkStart w:id="165" w:name="_Toc318581172"/>
      <w:r/>
      <w:bookmarkStart w:id="166" w:name="_Toc297123520"/>
      <w:r/>
      <w:bookmarkStart w:id="167" w:name="_Toc303539129"/>
      <w:r/>
      <w:bookmarkStart w:id="168" w:name="_Toc297216179"/>
      <w:r/>
      <w:bookmarkStart w:id="169" w:name="_Toc300934972"/>
      <w:r/>
      <w:bookmarkStart w:id="170" w:name="_Toc312678016"/>
      <w:r/>
      <w:bookmarkStart w:id="171" w:name="_Toc304295550"/>
      <w:r>
        <w:rPr>
          <w:rFonts w:hint="eastAsia" w:ascii="宋体" w:hAnsi="宋体" w:eastAsia="宋体" w:cs="宋体"/>
          <w:sz w:val="28"/>
          <w:szCs w:val="28"/>
        </w:rPr>
        <w:t xml:space="preserve">不利物质条件的其他情形和有关约定：</w:t>
      </w:r>
      <w:r>
        <w:rPr>
          <w:rFonts w:hint="eastAsia" w:ascii="宋体" w:hAnsi="宋体" w:eastAsia="宋体" w:cs="宋体"/>
          <w:sz w:val="28"/>
          <w:szCs w:val="28"/>
          <w:u w:val="single"/>
        </w:rPr>
        <w:t xml:space="preserve"> 按通用条款执行 </w:t>
      </w:r>
      <w:r>
        <w:rPr>
          <w:rFonts w:hint="eastAsia" w:ascii="宋体" w:hAnsi="宋体" w:eastAsia="宋体" w:cs="宋体"/>
          <w:sz w:val="28"/>
          <w:szCs w:val="28"/>
        </w:rPr>
        <w:t xml:space="preserve">。</w:t>
      </w:r>
      <w:bookmarkEnd w:id="165"/>
      <w:r/>
      <w:bookmarkEnd w:id="166"/>
      <w:r/>
      <w:bookmarkEnd w:id="167"/>
      <w:r/>
      <w:bookmarkEnd w:id="168"/>
      <w:r/>
      <w:bookmarkEnd w:id="169"/>
      <w:r/>
      <w:bookmarkEnd w:id="170"/>
      <w:r/>
      <w:bookmarkEnd w:id="171"/>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7</w:t>
      </w:r>
      <w:bookmarkStart w:id="172" w:name="_Toc304295551"/>
      <w:r/>
      <w:bookmarkStart w:id="173" w:name="_Toc303539130"/>
      <w:r/>
      <w:bookmarkStart w:id="174" w:name="_Toc312678017"/>
      <w:r/>
      <w:bookmarkStart w:id="175" w:name="_Toc297216180"/>
      <w:r/>
      <w:bookmarkStart w:id="176" w:name="_Toc300934973"/>
      <w:r/>
      <w:bookmarkStart w:id="177" w:name="_Toc297123521"/>
      <w:r>
        <w:rPr>
          <w:rFonts w:hint="eastAsia" w:ascii="宋体" w:hAnsi="宋体" w:eastAsia="宋体" w:cs="宋体"/>
          <w:sz w:val="28"/>
          <w:szCs w:val="28"/>
        </w:rPr>
        <w:t xml:space="preserve">.7异常恶劣的气候条件</w:t>
      </w:r>
      <w:bookmarkEnd w:id="172"/>
      <w:r/>
      <w:bookmarkEnd w:id="173"/>
      <w:r/>
      <w:bookmarkEnd w:id="174"/>
      <w:r/>
      <w:bookmarkEnd w:id="175"/>
      <w:r/>
      <w:bookmarkEnd w:id="176"/>
      <w:r/>
      <w:bookmarkEnd w:id="177"/>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发包人和承包人同意以下情形视为异常恶劣的气候条件：</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u w:val="single"/>
        </w:rPr>
        <w:t xml:space="preserve">     不约定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b w:val="0"/>
          <w:bCs w:val="0"/>
          <w:sz w:val="28"/>
          <w:szCs w:val="28"/>
        </w:rPr>
        <w:outlineLvl w:val="0"/>
      </w:pPr>
      <w:r>
        <w:rPr>
          <w:rFonts w:hint="eastAsia" w:ascii="宋体" w:hAnsi="宋体" w:eastAsia="宋体" w:cs="宋体"/>
          <w:b w:val="0"/>
          <w:bCs w:val="0"/>
          <w:sz w:val="28"/>
          <w:szCs w:val="28"/>
        </w:rPr>
        <w:t xml:space="preserve">7.9 提前竣工的奖励</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7.9.2提前竣工的奖励：</w:t>
      </w:r>
      <w:r>
        <w:rPr>
          <w:rFonts w:hint="eastAsia" w:ascii="宋体" w:hAnsi="宋体" w:eastAsia="宋体" w:cs="宋体"/>
          <w:sz w:val="28"/>
          <w:szCs w:val="28"/>
          <w:u w:val="single"/>
        </w:rPr>
        <w:t xml:space="preserve"> 不奖励  </w:t>
      </w:r>
      <w:r>
        <w:rPr>
          <w:rFonts w:hint="eastAsia" w:ascii="宋体" w:hAnsi="宋体" w:eastAsia="宋体" w:cs="宋体"/>
          <w:sz w:val="28"/>
          <w:szCs w:val="28"/>
        </w:rPr>
        <w:t xml:space="preserve">。</w:t>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178" w:name="_Toc351203640"/>
      <w:r>
        <w:rPr>
          <w:rFonts w:hint="eastAsia" w:ascii="宋体" w:hAnsi="宋体" w:eastAsia="宋体" w:cs="宋体"/>
          <w:b w:val="0"/>
          <w:bCs/>
          <w:sz w:val="28"/>
          <w:szCs w:val="28"/>
          <w:lang w:val="en-US" w:eastAsia="zh-CN" w:bidi="ar-SA"/>
        </w:rPr>
        <w:t xml:space="preserve">第8条 材料与设备</w:t>
      </w:r>
      <w:bookmarkEnd w:id="178"/>
      <w:r/>
      <w:bookmarkEnd w:id="113"/>
      <w:r/>
      <w:bookmarkEnd w:id="114"/>
      <w:r/>
      <w:bookmarkEnd w:id="115"/>
      <w:r/>
      <w:bookmarkEnd w:id="116"/>
      <w:r/>
      <w:bookmarkEnd w:id="117"/>
      <w:r/>
      <w:bookmarkEnd w:id="118"/>
      <w:r/>
      <w:bookmarkEnd w:id="119"/>
      <w:r/>
      <w:bookmarkEnd w:id="120"/>
      <w:r/>
      <w:bookmarkEnd w:id="121"/>
      <w:r/>
      <w:bookmarkEnd w:id="122"/>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8</w:t>
      </w:r>
      <w:bookmarkStart w:id="179" w:name="_Toc297216186"/>
      <w:r/>
      <w:bookmarkStart w:id="180" w:name="_Toc280868654"/>
      <w:r/>
      <w:bookmarkStart w:id="181" w:name="_Toc297048353"/>
      <w:r/>
      <w:bookmarkStart w:id="182" w:name="_Toc292559372"/>
      <w:r/>
      <w:bookmarkStart w:id="183" w:name="_Toc296891207"/>
      <w:r/>
      <w:bookmarkStart w:id="184" w:name="_Toc297120467"/>
      <w:r/>
      <w:bookmarkStart w:id="185" w:name="_Toc296347166"/>
      <w:r/>
      <w:bookmarkStart w:id="186" w:name="_Toc303539136"/>
      <w:r/>
      <w:bookmarkStart w:id="187" w:name="_Toc292559877"/>
      <w:r/>
      <w:bookmarkStart w:id="188" w:name="_Toc296503167"/>
      <w:r/>
      <w:bookmarkStart w:id="189" w:name="_Toc304295556"/>
      <w:r/>
      <w:bookmarkStart w:id="190" w:name="_Toc312678019"/>
      <w:r/>
      <w:bookmarkStart w:id="191" w:name="_Toc296944506"/>
      <w:r/>
      <w:bookmarkStart w:id="192" w:name="_Toc296890995"/>
      <w:r/>
      <w:bookmarkStart w:id="193" w:name="_Toc312677493"/>
      <w:r/>
      <w:bookmarkStart w:id="194" w:name="_Toc297123527"/>
      <w:r/>
      <w:bookmarkStart w:id="195" w:name="_Toc296346668"/>
      <w:r/>
      <w:bookmarkStart w:id="196" w:name="_Toc300934979"/>
      <w:r/>
      <w:bookmarkStart w:id="197" w:name="_Toc280868656"/>
      <w:r/>
      <w:bookmarkStart w:id="198" w:name="_Toc267251424"/>
      <w:r/>
      <w:bookmarkStart w:id="199" w:name="_Toc280868655"/>
      <w:r>
        <w:rPr>
          <w:rFonts w:hint="eastAsia" w:ascii="宋体" w:hAnsi="宋体" w:eastAsia="宋体" w:cs="宋体"/>
          <w:sz w:val="28"/>
          <w:szCs w:val="28"/>
        </w:rPr>
        <w:t xml:space="preserve">.4材料与工程设备的保管与使用</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8</w:t>
      </w:r>
      <w:bookmarkStart w:id="200" w:name="_Toc292559878"/>
      <w:r/>
      <w:bookmarkStart w:id="201" w:name="_Toc292559373"/>
      <w:r/>
      <w:bookmarkStart w:id="202" w:name="_Toc297123528"/>
      <w:r/>
      <w:bookmarkStart w:id="203" w:name="_Toc297048354"/>
      <w:r/>
      <w:bookmarkStart w:id="204" w:name="_Toc296503168"/>
      <w:r/>
      <w:bookmarkStart w:id="205" w:name="_Toc296347167"/>
      <w:r/>
      <w:bookmarkStart w:id="206" w:name="_Toc318581173"/>
      <w:r/>
      <w:bookmarkStart w:id="207" w:name="_Toc304295557"/>
      <w:r/>
      <w:bookmarkStart w:id="208" w:name="_Toc300934980"/>
      <w:r/>
      <w:bookmarkStart w:id="209" w:name="_Toc296891208"/>
      <w:r/>
      <w:bookmarkStart w:id="210" w:name="_Toc296890996"/>
      <w:r/>
      <w:bookmarkStart w:id="211" w:name="_Toc296944507"/>
      <w:r/>
      <w:bookmarkStart w:id="212" w:name="_Toc312677494"/>
      <w:r/>
      <w:bookmarkStart w:id="213" w:name="_Toc303539137"/>
      <w:r/>
      <w:bookmarkStart w:id="214" w:name="_Toc297120468"/>
      <w:r/>
      <w:bookmarkStart w:id="215" w:name="_Toc296346669"/>
      <w:r/>
      <w:bookmarkStart w:id="216" w:name="_Toc297216187"/>
      <w:r/>
      <w:bookmarkStart w:id="217" w:name="_Toc312678020"/>
      <w:r>
        <w:rPr>
          <w:rFonts w:hint="eastAsia" w:ascii="宋体" w:hAnsi="宋体" w:eastAsia="宋体" w:cs="宋体"/>
          <w:sz w:val="28"/>
          <w:szCs w:val="28"/>
        </w:rPr>
        <w:t xml:space="preserve">.4.1发包人供应的材料设备的保管费用的承担：</w:t>
      </w:r>
      <w:r>
        <w:rPr>
          <w:rFonts w:hint="eastAsia" w:ascii="宋体" w:hAnsi="宋体" w:eastAsia="宋体" w:cs="宋体"/>
          <w:sz w:val="28"/>
          <w:szCs w:val="28"/>
          <w:u w:val="single"/>
        </w:rPr>
        <w:t xml:space="preserve"> 承包人承担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w:t>
      </w:r>
      <w:bookmarkEnd w:id="200"/>
      <w:r/>
      <w:bookmarkEnd w:id="201"/>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8.6 样品</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8.6.1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样品的报送与封存</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需要承包人报送样品的材料或工程设备，样品的种类、名称、规格、数量要求：</w:t>
      </w:r>
      <w:r>
        <w:rPr>
          <w:rFonts w:hint="eastAsia" w:ascii="宋体" w:hAnsi="宋体" w:eastAsia="宋体" w:cs="宋体"/>
          <w:sz w:val="28"/>
          <w:szCs w:val="28"/>
          <w:u w:val="single"/>
        </w:rPr>
        <w:t xml:space="preserve">承包人需按照招标人要求提供样品</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8.8 施工设备和临时设施</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8.8.1 承包人提供的施工设备和临时设施</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关于修建临时设施费用承担的约定：</w:t>
      </w:r>
      <w:r>
        <w:rPr>
          <w:rFonts w:hint="eastAsia" w:ascii="宋体" w:hAnsi="宋体" w:eastAsia="宋体" w:cs="宋体"/>
          <w:sz w:val="28"/>
          <w:szCs w:val="28"/>
          <w:u w:val="single"/>
        </w:rPr>
        <w:t xml:space="preserve">临时设施费用由投标人在其投标报价中考虑，由承包人承担，该报价中包括搭建、拆除外运等费用。</w:t>
      </w:r>
      <w:bookmarkEnd w:id="197"/>
      <w:r/>
      <w:bookmarkEnd w:id="198"/>
      <w:r/>
      <w:bookmarkEnd w:id="199"/>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218" w:name="_Toc351203641"/>
      <w:r/>
      <w:bookmarkStart w:id="219" w:name="_Toc297123533"/>
      <w:r/>
      <w:bookmarkStart w:id="220" w:name="_Toc304295559"/>
      <w:r/>
      <w:bookmarkStart w:id="221" w:name="_Toc312677495"/>
      <w:r/>
      <w:bookmarkStart w:id="222" w:name="_Toc312678021"/>
      <w:r/>
      <w:bookmarkStart w:id="223" w:name="_Toc303539139"/>
      <w:r/>
      <w:bookmarkStart w:id="224" w:name="_Toc297216192"/>
      <w:r/>
      <w:bookmarkStart w:id="225" w:name="_Toc300934982"/>
      <w:r/>
      <w:bookmarkStart w:id="226" w:name="_Toc296346674"/>
      <w:r/>
      <w:bookmarkStart w:id="227" w:name="_Toc267251427"/>
      <w:r/>
      <w:bookmarkStart w:id="228" w:name="_Toc296347172"/>
      <w:r/>
      <w:bookmarkStart w:id="229" w:name="_Toc296891213"/>
      <w:r/>
      <w:bookmarkStart w:id="230" w:name="_Toc297048359"/>
      <w:r/>
      <w:bookmarkStart w:id="231" w:name="_Toc297120473"/>
      <w:r/>
      <w:bookmarkStart w:id="232" w:name="_Toc292559378"/>
      <w:r/>
      <w:bookmarkStart w:id="233" w:name="_Toc296944512"/>
      <w:r/>
      <w:bookmarkStart w:id="234" w:name="_Toc292559883"/>
      <w:r/>
      <w:bookmarkStart w:id="235" w:name="_Toc267251428"/>
      <w:r/>
      <w:bookmarkStart w:id="236" w:name="_Toc296503173"/>
      <w:r/>
      <w:bookmarkStart w:id="237" w:name="_Toc296891001"/>
      <w:r>
        <w:rPr>
          <w:rFonts w:hint="eastAsia" w:ascii="宋体" w:hAnsi="宋体" w:eastAsia="宋体" w:cs="宋体"/>
          <w:b w:val="0"/>
          <w:bCs/>
          <w:sz w:val="28"/>
          <w:szCs w:val="28"/>
          <w:lang w:val="en-US" w:eastAsia="zh-CN" w:bidi="ar-SA"/>
        </w:rPr>
        <w:t xml:space="preserve">第9条 试验与检验</w:t>
      </w:r>
      <w:bookmarkEnd w:id="218"/>
      <w:r/>
      <w:bookmarkEnd w:id="219"/>
      <w:r/>
      <w:bookmarkEnd w:id="220"/>
      <w:r/>
      <w:bookmarkEnd w:id="221"/>
      <w:r/>
      <w:bookmarkEnd w:id="222"/>
      <w:r/>
      <w:bookmarkEnd w:id="223"/>
      <w:r/>
      <w:bookmarkEnd w:id="224"/>
      <w:r/>
      <w:bookmarkEnd w:id="225"/>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9</w:t>
      </w:r>
      <w:bookmarkStart w:id="238" w:name="_Toc303539140"/>
      <w:r/>
      <w:bookmarkStart w:id="239" w:name="_Toc312678022"/>
      <w:r/>
      <w:bookmarkStart w:id="240" w:name="_Toc304295560"/>
      <w:r/>
      <w:bookmarkStart w:id="241" w:name="_Toc297123534"/>
      <w:r/>
      <w:bookmarkStart w:id="242" w:name="_Toc312677496"/>
      <w:r/>
      <w:bookmarkStart w:id="243" w:name="_Toc300934983"/>
      <w:r/>
      <w:bookmarkStart w:id="244" w:name="_Toc297216193"/>
      <w:r>
        <w:rPr>
          <w:rFonts w:hint="eastAsia" w:ascii="宋体" w:hAnsi="宋体" w:eastAsia="宋体" w:cs="宋体"/>
          <w:sz w:val="28"/>
          <w:szCs w:val="28"/>
        </w:rPr>
        <w:t xml:space="preserve">.1试验设备与试验人员</w:t>
      </w:r>
      <w:bookmarkEnd w:id="238"/>
      <w:r/>
      <w:bookmarkEnd w:id="239"/>
      <w:r/>
      <w:bookmarkEnd w:id="240"/>
      <w:r/>
      <w:bookmarkEnd w:id="241"/>
      <w:r/>
      <w:bookmarkEnd w:id="242"/>
      <w:r/>
      <w:bookmarkEnd w:id="243"/>
      <w:r/>
      <w:bookmarkEnd w:id="244"/>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9</w:t>
      </w:r>
      <w:bookmarkStart w:id="245" w:name="_Toc312677497"/>
      <w:r/>
      <w:bookmarkStart w:id="246" w:name="_Toc312678023"/>
      <w:r/>
      <w:bookmarkStart w:id="247" w:name="_Toc303539141"/>
      <w:r/>
      <w:bookmarkStart w:id="248" w:name="_Toc297123535"/>
      <w:r/>
      <w:bookmarkStart w:id="249" w:name="_Toc304295561"/>
      <w:r/>
      <w:bookmarkStart w:id="250" w:name="_Toc297216194"/>
      <w:r/>
      <w:bookmarkStart w:id="251" w:name="_Toc300934984"/>
      <w:r/>
      <w:bookmarkStart w:id="252" w:name="_Toc318581174"/>
      <w:r>
        <w:rPr>
          <w:rFonts w:hint="eastAsia" w:ascii="宋体" w:hAnsi="宋体" w:eastAsia="宋体" w:cs="宋体"/>
          <w:sz w:val="28"/>
          <w:szCs w:val="28"/>
        </w:rPr>
        <w:t xml:space="preserve">.1.2 试验设备</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施工现场需要配置的试验场所：</w:t>
      </w:r>
      <w:bookmarkEnd w:id="245"/>
      <w:r/>
      <w:bookmarkEnd w:id="246"/>
      <w:r/>
      <w:bookmarkEnd w:id="247"/>
      <w:r/>
      <w:bookmarkEnd w:id="248"/>
      <w:r/>
      <w:bookmarkEnd w:id="249"/>
      <w:r/>
      <w:bookmarkEnd w:id="250"/>
      <w:r/>
      <w:bookmarkEnd w:id="251"/>
      <w:r/>
      <w:bookmarkStart w:id="253" w:name="_Toc297123536"/>
      <w:r/>
      <w:bookmarkStart w:id="254" w:name="_Toc303539142"/>
      <w:r/>
      <w:bookmarkStart w:id="255" w:name="_Toc304295562"/>
      <w:r/>
      <w:bookmarkStart w:id="256" w:name="_Toc300934985"/>
      <w:r/>
      <w:bookmarkStart w:id="257" w:name="_Toc297216195"/>
      <w:r/>
      <w:bookmarkStart w:id="258" w:name="_Toc312677498"/>
      <w:r/>
      <w:bookmarkStart w:id="259" w:name="_Toc312678024"/>
      <w:r>
        <w:rPr>
          <w:rFonts w:hint="eastAsia" w:ascii="宋体" w:hAnsi="宋体" w:eastAsia="宋体" w:cs="宋体"/>
          <w:sz w:val="28"/>
          <w:szCs w:val="28"/>
          <w:u w:val="single"/>
        </w:rPr>
        <w:t xml:space="preserve">承包人自行考虑，费用由承包人承担。 </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施工现场需要配备的试验设备：</w:t>
      </w:r>
      <w:r>
        <w:rPr>
          <w:rFonts w:hint="eastAsia" w:ascii="宋体" w:hAnsi="宋体" w:eastAsia="宋体" w:cs="宋体"/>
          <w:sz w:val="28"/>
          <w:szCs w:val="28"/>
          <w:u w:val="single"/>
        </w:rPr>
        <w:t xml:space="preserve">承包人自行考虑，费用由承包人承担</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施工现场需要具备的其他试验条件：</w:t>
      </w:r>
      <w:r>
        <w:rPr>
          <w:rFonts w:hint="eastAsia" w:ascii="宋体" w:hAnsi="宋体" w:eastAsia="宋体" w:cs="宋体"/>
          <w:sz w:val="28"/>
          <w:szCs w:val="28"/>
          <w:u w:val="single"/>
        </w:rPr>
        <w:t xml:space="preserve">承包人自行考虑，费用由承包人承担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9.4 现场工艺试验 </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现场工艺试验的有关约定：</w:t>
      </w:r>
      <w:r>
        <w:rPr>
          <w:rFonts w:hint="eastAsia" w:ascii="宋体" w:hAnsi="宋体" w:eastAsia="宋体" w:cs="宋体"/>
          <w:sz w:val="28"/>
          <w:szCs w:val="28"/>
          <w:u w:val="single"/>
        </w:rPr>
        <w:t xml:space="preserve">  承包人根据相关法律、标准和规范及按照监理人指示进行试验并承担检测费用。</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52"/>
      <w:r/>
      <w:bookmarkEnd w:id="253"/>
      <w:r/>
      <w:bookmarkEnd w:id="254"/>
      <w:r/>
      <w:bookmarkEnd w:id="255"/>
      <w:r/>
      <w:bookmarkEnd w:id="256"/>
      <w:r/>
      <w:bookmarkEnd w:id="257"/>
      <w:r/>
      <w:bookmarkEnd w:id="258"/>
      <w:r/>
      <w:bookmarkEnd w:id="259"/>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260" w:name="_Toc296347192"/>
      <w:r/>
      <w:bookmarkStart w:id="261" w:name="_Toc292559903"/>
      <w:r/>
      <w:bookmarkStart w:id="262" w:name="_Toc296346694"/>
      <w:r/>
      <w:bookmarkStart w:id="263" w:name="_Toc296944532"/>
      <w:r/>
      <w:bookmarkStart w:id="264" w:name="_Toc297048379"/>
      <w:r/>
      <w:bookmarkStart w:id="265" w:name="_Toc304295566"/>
      <w:r/>
      <w:bookmarkStart w:id="266" w:name="_Toc292559398"/>
      <w:r/>
      <w:bookmarkStart w:id="267" w:name="_Toc297120493"/>
      <w:r/>
      <w:bookmarkStart w:id="268" w:name="_Toc296891233"/>
      <w:r/>
      <w:bookmarkStart w:id="269" w:name="_Toc351203642"/>
      <w:r/>
      <w:bookmarkStart w:id="270" w:name="_Toc296503193"/>
      <w:r/>
      <w:bookmarkStart w:id="271" w:name="_Toc297216199"/>
      <w:r/>
      <w:bookmarkStart w:id="272" w:name="_Toc297123540"/>
      <w:r/>
      <w:bookmarkStart w:id="273" w:name="_Toc296891021"/>
      <w:r/>
      <w:bookmarkStart w:id="274" w:name="_Toc300934989"/>
      <w:r/>
      <w:bookmarkStart w:id="275" w:name="_Toc303539146"/>
      <w:r/>
      <w:bookmarkStart w:id="276" w:name="_Toc312677499"/>
      <w:r/>
      <w:bookmarkStart w:id="277" w:name="_Toc312678025"/>
      <w:r/>
      <w:bookmarkStart w:id="278" w:name="_Toc267251437"/>
      <w:r/>
      <w:bookmarkStart w:id="279" w:name="_Toc267251440"/>
      <w:r/>
      <w:bookmarkStart w:id="280" w:name="_Toc267251439"/>
      <w:r/>
      <w:bookmarkStart w:id="281" w:name="_Toc267251433"/>
      <w:r/>
      <w:bookmarkStart w:id="282" w:name="_Toc267251435"/>
      <w:r/>
      <w:bookmarkStart w:id="283" w:name="_Toc267251441"/>
      <w:r/>
      <w:bookmarkStart w:id="284" w:name="_Toc267251442"/>
      <w:r>
        <w:rPr>
          <w:rFonts w:hint="eastAsia" w:ascii="宋体" w:hAnsi="宋体" w:eastAsia="宋体" w:cs="宋体"/>
          <w:b w:val="0"/>
          <w:bCs/>
          <w:sz w:val="28"/>
          <w:szCs w:val="28"/>
          <w:lang w:val="en-US" w:eastAsia="zh-CN" w:bidi="ar-SA"/>
        </w:rPr>
        <w:t xml:space="preserve">第10条 变更</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w:t>
      </w:r>
      <w:bookmarkStart w:id="285" w:name="_Toc312677500"/>
      <w:r/>
      <w:bookmarkStart w:id="286" w:name="_Toc292559904"/>
      <w:r/>
      <w:bookmarkStart w:id="287" w:name="_Toc296891234"/>
      <w:r/>
      <w:bookmarkStart w:id="288" w:name="_Toc296944533"/>
      <w:r/>
      <w:bookmarkStart w:id="289" w:name="_Toc297123541"/>
      <w:r/>
      <w:bookmarkStart w:id="290" w:name="_Toc304295567"/>
      <w:r/>
      <w:bookmarkStart w:id="291" w:name="_Toc296346695"/>
      <w:r/>
      <w:bookmarkStart w:id="292" w:name="_Toc292559399"/>
      <w:r/>
      <w:bookmarkStart w:id="293" w:name="_Toc300934990"/>
      <w:r/>
      <w:bookmarkStart w:id="294" w:name="_Toc296891022"/>
      <w:r/>
      <w:bookmarkStart w:id="295" w:name="_Toc297216200"/>
      <w:r/>
      <w:bookmarkStart w:id="296" w:name="_Toc297048380"/>
      <w:r/>
      <w:bookmarkStart w:id="297" w:name="_Toc296503194"/>
      <w:r/>
      <w:bookmarkStart w:id="298" w:name="_Toc296347193"/>
      <w:r/>
      <w:bookmarkStart w:id="299" w:name="_Toc297120494"/>
      <w:r/>
      <w:bookmarkStart w:id="300" w:name="_Toc312678026"/>
      <w:r/>
      <w:bookmarkStart w:id="301" w:name="_Toc303539147"/>
      <w:r>
        <w:rPr>
          <w:rFonts w:hint="eastAsia" w:ascii="宋体" w:hAnsi="宋体" w:eastAsia="宋体" w:cs="宋体"/>
          <w:sz w:val="28"/>
          <w:szCs w:val="28"/>
        </w:rPr>
        <w:t xml:space="preserve">0.1变更的范围</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关于变更的范围的约定：</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 xml:space="preserve"> 除按照沛政办发【2023】16号规定以及政策性调整提出的变更外，其他内容一律不得变更，涉及变更、签证必须执行沛政办发【2023】16号文件，经政府部门批准后实施。1、设计变更必须有设计单位的设计变更通知单或工程处理单，并经发包人认可（变更文件中须明确原做法、变更后做法及工艺、材料名称、规格、品牌、尺寸等，标注要清晰）；2、现场签证须有监理工程师、发包人现场代表、承包人项目经理、设计单位四方签字认可生效；3、若承包人擅自变更或先施工后申请变更的，其工程量不予认可；4、所有变更价款均在项目竣工后审计时统一结算</w:t>
      </w:r>
      <w:r>
        <w:rPr>
          <w:rFonts w:hint="eastAsia" w:ascii="宋体" w:hAnsi="宋体" w:eastAsia="宋体" w:cs="宋体"/>
          <w:sz w:val="28"/>
          <w:szCs w:val="28"/>
          <w:u w:val="none"/>
        </w:rPr>
        <w:t xml:space="preserve">。</w:t>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10.4 变更估价</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10.4.1 变更估价原则</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关于变更估价的约定:</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 xml:space="preserve">除按照沛政办发【2023】16号规定以及政策性调整提出的变更外，其他内容一律不得变更，涉及变更、签证必须执行沛政办发【2023】16号文件，经政府部门批准后实施。1、设计变更必须有设计单位的设计变更通知单或工程处理单，并经发包人认可（变更文件中须明确原做法、变更后做法及工艺、材料名称、规格、品牌、尺寸等，标注要清晰）；2、现场签证须有监理工程师、发包人现场代表、承包人项目经理、设计单位四方签字认可生效；3、若承包人擅自变更或先施工后申请变更的，其工程量不予认可；4、所有变更价款均在项目竣工后审计时统一结算。</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Start w:id="302" w:name="_Toc297048383"/>
      <w:r/>
      <w:bookmarkStart w:id="303" w:name="_Toc300934993"/>
      <w:r/>
      <w:bookmarkStart w:id="304" w:name="_Toc297216203"/>
      <w:r/>
      <w:bookmarkStart w:id="305" w:name="_Toc297120497"/>
      <w:r/>
      <w:bookmarkStart w:id="306" w:name="_Toc297123544"/>
      <w:r/>
      <w:bookmarkStart w:id="307" w:name="_Toc296346698"/>
      <w:r/>
      <w:bookmarkStart w:id="308" w:name="_Toc292559907"/>
      <w:r/>
      <w:bookmarkStart w:id="309" w:name="_Toc296944536"/>
      <w:r/>
      <w:bookmarkStart w:id="310" w:name="_Toc296347196"/>
      <w:r/>
      <w:bookmarkStart w:id="311" w:name="_Toc296891237"/>
      <w:r/>
      <w:bookmarkStart w:id="312" w:name="_Toc296503197"/>
      <w:r/>
      <w:bookmarkStart w:id="313" w:name="_Toc303539150"/>
      <w:r/>
      <w:bookmarkStart w:id="314" w:name="_Toc296891025"/>
      <w:r/>
      <w:bookmarkStart w:id="315" w:name="_Toc292559402"/>
      <w:r/>
      <w:bookmarkStart w:id="316" w:name="_Toc312677503"/>
      <w:r/>
      <w:bookmarkStart w:id="317" w:name="_Toc304295570"/>
      <w:r/>
      <w:bookmarkStart w:id="318" w:name="_Toc312678029"/>
      <w:r>
        <w:rPr>
          <w:rFonts w:hint="eastAsia" w:ascii="宋体" w:hAnsi="宋体" w:eastAsia="宋体" w:cs="宋体"/>
          <w:sz w:val="28"/>
          <w:szCs w:val="28"/>
        </w:rPr>
        <w:t xml:space="preserve">0.5承</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Start w:id="319" w:name="_Toc297216204"/>
      <w:r/>
      <w:bookmarkStart w:id="320" w:name="_Toc292559913"/>
      <w:r/>
      <w:bookmarkStart w:id="321" w:name="_Toc296503203"/>
      <w:r/>
      <w:bookmarkStart w:id="322" w:name="_Toc297123545"/>
      <w:r/>
      <w:bookmarkStart w:id="323" w:name="_Toc297120503"/>
      <w:r/>
      <w:bookmarkStart w:id="324" w:name="_Toc297048389"/>
      <w:r/>
      <w:bookmarkStart w:id="325" w:name="_Toc296346704"/>
      <w:r/>
      <w:bookmarkStart w:id="326" w:name="_Toc296347202"/>
      <w:r/>
      <w:bookmarkStart w:id="327" w:name="_Toc296944542"/>
      <w:r/>
      <w:bookmarkStart w:id="328" w:name="_Toc296891243"/>
      <w:r/>
      <w:bookmarkStart w:id="329" w:name="_Toc292559408"/>
      <w:r/>
      <w:bookmarkStart w:id="330" w:name="_Toc296891031"/>
      <w:r/>
      <w:bookmarkStart w:id="331" w:name="_Toc300934994"/>
      <w:r/>
      <w:bookmarkStart w:id="332" w:name="_Toc303539151"/>
      <w:r>
        <w:rPr>
          <w:rFonts w:hint="eastAsia" w:ascii="宋体" w:hAnsi="宋体" w:eastAsia="宋体" w:cs="宋体"/>
          <w:sz w:val="28"/>
          <w:szCs w:val="28"/>
        </w:rPr>
        <w:t xml:space="preserve">包人的合理化建议</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监理人审查承包人合理化建议的期限：</w:t>
      </w:r>
      <w:r>
        <w:rPr>
          <w:rFonts w:hint="eastAsia" w:ascii="宋体" w:hAnsi="宋体" w:eastAsia="宋体" w:cs="宋体"/>
          <w:sz w:val="28"/>
          <w:szCs w:val="28"/>
          <w:u w:val="single"/>
        </w:rPr>
        <w:t xml:space="preserve"> 监理人应在收到承包人提交的合理化建议后7天内审查完毕并报送发包人  </w:t>
      </w:r>
      <w:r>
        <w:rPr>
          <w:rFonts w:hint="eastAsia" w:ascii="宋体" w:hAnsi="宋体" w:eastAsia="宋体" w:cs="宋体"/>
          <w:sz w:val="28"/>
          <w:szCs w:val="28"/>
        </w:rPr>
        <w:t xml:space="preserve">发包人审批承包人合理化建议的期限：</w:t>
      </w:r>
      <w:r>
        <w:rPr>
          <w:rFonts w:hint="eastAsia" w:ascii="宋体" w:hAnsi="宋体" w:eastAsia="宋体" w:cs="宋体"/>
          <w:sz w:val="28"/>
          <w:szCs w:val="28"/>
          <w:u w:val="single"/>
        </w:rPr>
        <w:t xml:space="preserve"> 监理人应在收到承包人提交的合理化建议后7天内审查完毕并报送发包人</w:t>
      </w:r>
      <w:r>
        <w:rPr>
          <w:rFonts w:hint="eastAsia" w:ascii="宋体" w:hAnsi="宋体" w:eastAsia="宋体" w:cs="宋体"/>
          <w:sz w:val="28"/>
          <w:szCs w:val="28"/>
        </w:rPr>
        <w:t xml:space="preserve">承</w:t>
      </w:r>
      <w:bookmarkStart w:id="333" w:name="_Toc297123546"/>
      <w:r/>
      <w:bookmarkStart w:id="334" w:name="_Toc296891032"/>
      <w:r/>
      <w:bookmarkStart w:id="335" w:name="_Toc296346705"/>
      <w:r/>
      <w:bookmarkStart w:id="336" w:name="_Toc297048390"/>
      <w:r/>
      <w:bookmarkStart w:id="337" w:name="_Toc296347203"/>
      <w:r/>
      <w:bookmarkStart w:id="338" w:name="_Toc292559914"/>
      <w:r/>
      <w:bookmarkStart w:id="339" w:name="_Toc297120504"/>
      <w:r/>
      <w:bookmarkStart w:id="340" w:name="_Toc296944543"/>
      <w:r/>
      <w:bookmarkStart w:id="341" w:name="_Toc300934995"/>
      <w:r/>
      <w:bookmarkStart w:id="342" w:name="_Toc304295571"/>
      <w:r/>
      <w:bookmarkStart w:id="343" w:name="_Toc297216205"/>
      <w:r/>
      <w:bookmarkStart w:id="344" w:name="_Toc292559409"/>
      <w:r/>
      <w:bookmarkStart w:id="345" w:name="_Toc312678030"/>
      <w:r/>
      <w:bookmarkStart w:id="346" w:name="_Toc303539152"/>
      <w:r/>
      <w:bookmarkStart w:id="347" w:name="_Toc312677504"/>
      <w:r/>
      <w:bookmarkStart w:id="348" w:name="_Toc318581175"/>
      <w:r/>
      <w:bookmarkStart w:id="349" w:name="_Toc296503204"/>
      <w:r/>
      <w:bookmarkStart w:id="350" w:name="_Toc296891244"/>
      <w:r>
        <w:rPr>
          <w:rFonts w:hint="eastAsia" w:ascii="宋体" w:hAnsi="宋体" w:eastAsia="宋体" w:cs="宋体"/>
          <w:sz w:val="28"/>
          <w:szCs w:val="28"/>
        </w:rPr>
        <w:t xml:space="preserve">包人提出的合理化建议降低了合同价格或者提高了工程经济效益的奖励的方法和金额为：</w:t>
      </w:r>
      <w:r>
        <w:rPr>
          <w:rFonts w:hint="eastAsia" w:ascii="宋体" w:hAnsi="宋体" w:eastAsia="宋体" w:cs="宋体"/>
          <w:sz w:val="28"/>
          <w:szCs w:val="28"/>
          <w:u w:val="single"/>
        </w:rPr>
        <w:t xml:space="preserve">不奖励  </w:t>
      </w:r>
      <w:r>
        <w:rPr>
          <w:rFonts w:hint="eastAsia" w:ascii="宋体" w:hAnsi="宋体" w:eastAsia="宋体" w:cs="宋体"/>
          <w:sz w:val="28"/>
          <w:szCs w:val="28"/>
        </w:rPr>
        <w:t xml:space="preserve">。</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w:t>
      </w:r>
      <w:bookmarkStart w:id="351" w:name="_Toc296891239"/>
      <w:r/>
      <w:bookmarkStart w:id="352" w:name="_Toc296347198"/>
      <w:r/>
      <w:bookmarkStart w:id="353" w:name="_Toc296891027"/>
      <w:r/>
      <w:bookmarkStart w:id="354" w:name="_Toc312678033"/>
      <w:r/>
      <w:bookmarkStart w:id="355" w:name="_Toc297216207"/>
      <w:r/>
      <w:bookmarkStart w:id="356" w:name="_Toc312677507"/>
      <w:r/>
      <w:bookmarkStart w:id="357" w:name="_Toc300934997"/>
      <w:r/>
      <w:bookmarkStart w:id="358" w:name="_Toc297120499"/>
      <w:r/>
      <w:bookmarkStart w:id="359" w:name="_Toc297048385"/>
      <w:r/>
      <w:bookmarkStart w:id="360" w:name="_Toc297123548"/>
      <w:r/>
      <w:bookmarkStart w:id="361" w:name="_Toc296346700"/>
      <w:r/>
      <w:bookmarkStart w:id="362" w:name="_Toc292559909"/>
      <w:r/>
      <w:bookmarkStart w:id="363" w:name="_Toc303539154"/>
      <w:r/>
      <w:bookmarkStart w:id="364" w:name="_Toc292559404"/>
      <w:r/>
      <w:bookmarkStart w:id="365" w:name="_Toc296944538"/>
      <w:r/>
      <w:bookmarkStart w:id="366" w:name="_Toc304295574"/>
      <w:r/>
      <w:bookmarkStart w:id="367" w:name="_Toc296503199"/>
      <w:r>
        <w:rPr>
          <w:rFonts w:hint="eastAsia" w:ascii="宋体" w:hAnsi="宋体" w:eastAsia="宋体" w:cs="宋体"/>
          <w:sz w:val="28"/>
          <w:szCs w:val="28"/>
        </w:rPr>
        <w:t xml:space="preserve">0.7 暂估价</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暂</w:t>
      </w:r>
      <w:bookmarkStart w:id="368" w:name="_Toc318581176"/>
      <w:r/>
      <w:bookmarkStart w:id="369" w:name="_Toc312677508"/>
      <w:r/>
      <w:bookmarkStart w:id="370" w:name="_Toc312678034"/>
      <w:r>
        <w:rPr>
          <w:rFonts w:hint="eastAsia" w:ascii="宋体" w:hAnsi="宋体" w:eastAsia="宋体" w:cs="宋体"/>
          <w:sz w:val="28"/>
          <w:szCs w:val="28"/>
        </w:rPr>
        <w:t xml:space="preserve">估价材料和工程设备的明细详见附件11：《</w:t>
      </w:r>
      <w:r>
        <w:rPr>
          <w:rFonts w:hint="eastAsia" w:ascii="宋体" w:hAnsi="宋体" w:eastAsia="宋体" w:cs="宋体"/>
          <w:sz w:val="28"/>
          <w:szCs w:val="28"/>
        </w:rPr>
        <w:t xml:space="preserve">暂估价一览表》</w:t>
      </w:r>
      <w:r>
        <w:rPr>
          <w:rFonts w:hint="eastAsia" w:ascii="宋体" w:hAnsi="宋体" w:eastAsia="宋体" w:cs="宋体"/>
          <w:sz w:val="28"/>
          <w:szCs w:val="28"/>
        </w:rPr>
        <w:t xml:space="preserve">。</w:t>
      </w:r>
      <w:bookmarkEnd w:id="368"/>
      <w:r/>
      <w:bookmarkEnd w:id="369"/>
      <w:r/>
      <w:bookmarkEnd w:id="370"/>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w:t>
      </w:r>
      <w:bookmarkStart w:id="371" w:name="_Toc312677509"/>
      <w:r/>
      <w:bookmarkStart w:id="372" w:name="_Toc312678035"/>
      <w:r/>
      <w:bookmarkStart w:id="373" w:name="_Toc318581177"/>
      <w:r>
        <w:rPr>
          <w:rFonts w:hint="eastAsia" w:ascii="宋体" w:hAnsi="宋体" w:eastAsia="宋体" w:cs="宋体"/>
          <w:sz w:val="28"/>
          <w:szCs w:val="28"/>
        </w:rPr>
        <w:t xml:space="preserve">0.7.1 依法必须招标的暂估价项目</w:t>
      </w:r>
      <w:bookmarkEnd w:id="371"/>
      <w:r/>
      <w:bookmarkEnd w:id="372"/>
      <w:r/>
      <w:bookmarkEnd w:id="373"/>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对于依法必须招标的暂估价项目的确认和批准采取第</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种方式确定。</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10.7.2 不属于依法必须招标的暂估价项目</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对于不属于依法必须招标的暂估价项目的确认和批准采取第</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 种方式确定。</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第3种方式：</w:t>
      </w:r>
      <w:r>
        <w:rPr>
          <w:rFonts w:hint="eastAsia" w:ascii="宋体" w:hAnsi="宋体" w:eastAsia="宋体" w:cs="宋体"/>
          <w:sz w:val="28"/>
          <w:szCs w:val="28"/>
        </w:rPr>
        <w:t xml:space="preserve">承包人直接实施的暂估价项目</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承包人直接实施的暂估价项目的约定：</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10.8 暂列金额</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合同当事人关于暂列金额使用的约定：</w:t>
      </w:r>
      <w:r>
        <w:rPr>
          <w:rFonts w:hint="eastAsia" w:ascii="宋体" w:hAnsi="宋体" w:eastAsia="宋体" w:cs="宋体"/>
          <w:sz w:val="28"/>
          <w:szCs w:val="28"/>
          <w:u w:val="single"/>
        </w:rPr>
        <w:t xml:space="preserve">    按招标人要求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w:t>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374" w:name="_Toc351203643"/>
      <w:r>
        <w:rPr>
          <w:rFonts w:hint="eastAsia" w:ascii="宋体" w:hAnsi="宋体" w:eastAsia="宋体" w:cs="宋体"/>
          <w:b w:val="0"/>
          <w:bCs/>
          <w:sz w:val="28"/>
          <w:szCs w:val="28"/>
          <w:lang w:val="en-US" w:eastAsia="zh-CN" w:bidi="ar-SA"/>
        </w:rPr>
        <w:t xml:space="preserve">第11条 价格调整</w:t>
      </w:r>
      <w:bookmarkEnd w:id="374"/>
      <w:r/>
      <w:r/>
    </w:p>
    <w:p>
      <w:pPr>
        <w:ind w:left="0" w:firstLine="560"/>
        <w:pageBreakBefore w:val="0"/>
        <w:spacing w:line="420" w:lineRule="exact"/>
        <w:rPr>
          <w:rFonts w:hint="eastAsia" w:ascii="宋体" w:hAnsi="宋体" w:eastAsia="宋体" w:cs="宋体"/>
          <w:sz w:val="28"/>
          <w:szCs w:val="28"/>
        </w:rPr>
      </w:pPr>
      <w:r/>
      <w:bookmarkStart w:id="375" w:name="_Toc292559911"/>
      <w:r/>
      <w:bookmarkStart w:id="376" w:name="_Toc296347200"/>
      <w:r/>
      <w:bookmarkStart w:id="377" w:name="_Toc296944540"/>
      <w:r/>
      <w:bookmarkStart w:id="378" w:name="_Toc303539157"/>
      <w:r/>
      <w:bookmarkStart w:id="379" w:name="_Toc297216209"/>
      <w:r/>
      <w:bookmarkStart w:id="380" w:name="_Toc304295577"/>
      <w:r/>
      <w:bookmarkStart w:id="381" w:name="_Toc312678039"/>
      <w:r/>
      <w:bookmarkStart w:id="382" w:name="_Toc296346702"/>
      <w:r/>
      <w:bookmarkStart w:id="383" w:name="_Toc297048387"/>
      <w:r/>
      <w:bookmarkStart w:id="384" w:name="_Toc297120501"/>
      <w:r/>
      <w:bookmarkStart w:id="385" w:name="_Toc300935000"/>
      <w:r/>
      <w:bookmarkStart w:id="386" w:name="_Toc296891241"/>
      <w:r/>
      <w:bookmarkStart w:id="387" w:name="_Toc296891029"/>
      <w:r/>
      <w:bookmarkStart w:id="388" w:name="_Toc297123550"/>
      <w:r/>
      <w:bookmarkStart w:id="389" w:name="_Toc296503201"/>
      <w:r/>
      <w:bookmarkStart w:id="390" w:name="_Toc292559406"/>
      <w:r>
        <w:rPr>
          <w:rFonts w:hint="eastAsia" w:ascii="宋体" w:hAnsi="宋体" w:eastAsia="宋体" w:cs="宋体"/>
          <w:sz w:val="28"/>
          <w:szCs w:val="28"/>
        </w:rPr>
        <w:t xml:space="preserve">11.1 市场价格波动引起的调整</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
    </w:p>
    <w:p>
      <w:pPr>
        <w:ind w:left="0" w:firstLine="560"/>
        <w:jc w:val="left"/>
        <w:pageBreakBefore w:val="0"/>
        <w:spacing w:line="420" w:lineRule="exact"/>
        <w:widowControl/>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 xml:space="preserve">11.1.1</w:t>
      </w:r>
      <w:r>
        <w:rPr>
          <w:rFonts w:hint="eastAsia" w:ascii="宋体" w:hAnsi="宋体" w:eastAsia="宋体" w:cs="宋体"/>
          <w:sz w:val="28"/>
          <w:szCs w:val="28"/>
        </w:rPr>
        <w:t xml:space="preserve">市场价格波动是否调整合同价格的约定：</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    。</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因市场价格波动调整合同价格，采用以下第</w:t>
      </w:r>
      <w:r>
        <w:rPr>
          <w:rFonts w:hint="eastAsia" w:ascii="宋体" w:hAnsi="宋体" w:eastAsia="宋体" w:cs="宋体"/>
          <w:sz w:val="28"/>
          <w:szCs w:val="28"/>
          <w:u w:val="single"/>
        </w:rPr>
        <w:t xml:space="preserve"> 3  </w:t>
      </w:r>
      <w:r>
        <w:rPr>
          <w:rFonts w:hint="eastAsia" w:ascii="宋体" w:hAnsi="宋体" w:eastAsia="宋体" w:cs="宋体"/>
          <w:sz w:val="28"/>
          <w:szCs w:val="28"/>
        </w:rPr>
        <w:t xml:space="preserve">种方式对合同价格进行调整：</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第1种方式：采用价格指数进行价格调整。</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关于各可调因子、定值和变值权重，以及基本价格指数及其来源的约定：</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  </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第2种方式：采用造价信息进行价格调整。</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关于基准价格的约定：</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%时，或材料单价跌幅以已标价工程量清单或预算书中载明材料单价为基础超过</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%时，其超过部分据实调整。</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%时，材料单价涨幅以已标价工程量清单或预算书中载明材料单价为基础超过</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%时，其超过部分据实调整。</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%时，其超过部分据实调整。</w:t>
      </w:r>
      <w:r/>
    </w:p>
    <w:p>
      <w:pPr>
        <w:ind w:left="0" w:firstLine="560"/>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第3种方式：其他价格调整方式：</w:t>
      </w:r>
      <w:r>
        <w:rPr>
          <w:rFonts w:hint="eastAsia" w:ascii="宋体" w:hAnsi="宋体" w:eastAsia="宋体" w:cs="宋体"/>
          <w:sz w:val="28"/>
          <w:szCs w:val="28"/>
          <w:u w:val="single"/>
        </w:rPr>
        <w:t xml:space="preserve"> 1、当施工期间上述建筑材料价格上涨超过10%时，10%以内（含）的部分由承包方承担，超出10%的部分由发包方承担；当施工期间主要建筑材料价格下降超过5%时，5%（含）以内的部分由承包方受益，超出5%的部分由发包方受益。招标范围内其它所有材料价格结算时均不再调整。主要建筑材料价格调整公式：主要建筑材料差价=施工期《徐州工程造价信息》发布的材料加权平均指导价-合同工程基准期当月《徐州工程造价信息》发布的材料指导价×（1+合同风险包干幅度）。</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lang w:val="en-US" w:eastAsia="zh-CN"/>
        </w:rPr>
        <w:t xml:space="preserve">11.1.</w:t>
      </w: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除本合同明确调整外，其他材料结算时不予调整。</w:t>
      </w:r>
      <w:bookmarkEnd w:id="278"/>
      <w:r/>
      <w:bookmarkEnd w:id="279"/>
      <w:r/>
      <w:bookmarkEnd w:id="280"/>
      <w:r/>
      <w:bookmarkEnd w:id="281"/>
      <w:r/>
      <w:bookmarkEnd w:id="282"/>
      <w:r/>
      <w:bookmarkEnd w:id="283"/>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391" w:name="_Toc296891033"/>
      <w:r/>
      <w:bookmarkStart w:id="392" w:name="_Toc292559915"/>
      <w:r/>
      <w:bookmarkStart w:id="393" w:name="_Toc292559410"/>
      <w:r/>
      <w:bookmarkStart w:id="394" w:name="_Toc297120505"/>
      <w:r/>
      <w:bookmarkStart w:id="395" w:name="_Toc296347204"/>
      <w:r/>
      <w:bookmarkStart w:id="396" w:name="_Toc296346706"/>
      <w:r/>
      <w:bookmarkStart w:id="397" w:name="_Toc296503205"/>
      <w:r/>
      <w:bookmarkStart w:id="398" w:name="_Toc296944544"/>
      <w:r/>
      <w:bookmarkStart w:id="399" w:name="_Toc296891245"/>
      <w:r/>
      <w:bookmarkStart w:id="400" w:name="_Toc297048391"/>
      <w:r/>
      <w:bookmarkStart w:id="401" w:name="_Toc351203644"/>
      <w:r/>
      <w:bookmarkStart w:id="402" w:name="_Toc297123552"/>
      <w:r/>
      <w:bookmarkStart w:id="403" w:name="_Toc303539159"/>
      <w:r/>
      <w:bookmarkStart w:id="404" w:name="_Toc312678040"/>
      <w:r/>
      <w:bookmarkStart w:id="405" w:name="_Toc297216211"/>
      <w:r/>
      <w:bookmarkStart w:id="406" w:name="_Toc304295579"/>
      <w:r/>
      <w:bookmarkStart w:id="407" w:name="_Toc300935002"/>
      <w:r>
        <w:rPr>
          <w:rFonts w:hint="eastAsia" w:ascii="宋体" w:hAnsi="宋体" w:eastAsia="宋体" w:cs="宋体"/>
          <w:b w:val="0"/>
          <w:bCs/>
          <w:sz w:val="28"/>
          <w:szCs w:val="28"/>
          <w:lang w:val="en-US" w:eastAsia="zh-CN" w:bidi="ar-SA"/>
        </w:rPr>
        <w:t xml:space="preserve">第12条 </w:t>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cs="宋体"/>
          <w:b w:val="0"/>
          <w:bCs/>
          <w:sz w:val="28"/>
          <w:szCs w:val="28"/>
          <w:lang w:val="en-US" w:eastAsia="zh-CN" w:bidi="ar-SA"/>
        </w:rPr>
        <w:t xml:space="preserve">合同价格、计量与支付</w:t>
      </w:r>
      <w:bookmarkEnd w:id="401"/>
      <w:r/>
      <w:bookmarkEnd w:id="402"/>
      <w:r/>
      <w:bookmarkEnd w:id="403"/>
      <w:r/>
      <w:bookmarkEnd w:id="404"/>
      <w:r/>
      <w:bookmarkEnd w:id="405"/>
      <w:r/>
      <w:bookmarkEnd w:id="406"/>
      <w:r/>
      <w:bookmarkEnd w:id="407"/>
      <w:r/>
      <w:r/>
    </w:p>
    <w:p>
      <w:pPr>
        <w:ind w:left="0" w:firstLine="560"/>
        <w:pageBreakBefore w:val="0"/>
        <w:spacing w:line="420" w:lineRule="exact"/>
        <w:tabs>
          <w:tab w:val="left" w:pos="3572" w:leader="none"/>
        </w:tabs>
        <w:rPr>
          <w:rFonts w:hint="eastAsia" w:ascii="宋体" w:hAnsi="宋体" w:eastAsia="宋体" w:cs="宋体"/>
          <w:sz w:val="28"/>
          <w:szCs w:val="28"/>
        </w:rPr>
      </w:pPr>
      <w:r/>
      <w:bookmarkStart w:id="408" w:name="_Toc292559411"/>
      <w:r/>
      <w:bookmarkStart w:id="409" w:name="_Toc267251461"/>
      <w:r/>
      <w:bookmarkStart w:id="410" w:name="_Toc292559916"/>
      <w:r/>
      <w:bookmarkStart w:id="411" w:name="_Toc296503206"/>
      <w:r/>
      <w:bookmarkStart w:id="412" w:name="_Toc296891246"/>
      <w:r/>
      <w:bookmarkStart w:id="413" w:name="_Toc296347205"/>
      <w:r/>
      <w:bookmarkStart w:id="414" w:name="_Toc297048392"/>
      <w:r/>
      <w:bookmarkStart w:id="415" w:name="_Toc297120506"/>
      <w:r/>
      <w:bookmarkStart w:id="416" w:name="_Toc296891034"/>
      <w:r/>
      <w:bookmarkStart w:id="417" w:name="_Toc296944545"/>
      <w:r/>
      <w:bookmarkStart w:id="418" w:name="_Toc296346707"/>
      <w:r/>
      <w:bookmarkStart w:id="419" w:name="_Toc303539160"/>
      <w:r/>
      <w:bookmarkStart w:id="420" w:name="_Toc304295580"/>
      <w:r/>
      <w:bookmarkStart w:id="421" w:name="_Toc312678041"/>
      <w:r/>
      <w:bookmarkStart w:id="422" w:name="_Toc297123553"/>
      <w:r/>
      <w:bookmarkStart w:id="423" w:name="_Toc297216212"/>
      <w:r/>
      <w:bookmarkStart w:id="424" w:name="_Toc300935003"/>
      <w:r>
        <w:rPr>
          <w:rFonts w:hint="eastAsia" w:ascii="宋体" w:hAnsi="宋体" w:eastAsia="宋体" w:cs="宋体"/>
          <w:sz w:val="28"/>
          <w:szCs w:val="28"/>
        </w:rPr>
        <w:t xml:space="preserve">12.1 合</w:t>
      </w:r>
      <w:bookmarkEnd w:id="408"/>
      <w:r/>
      <w:bookmarkEnd w:id="409"/>
      <w:r/>
      <w:bookmarkEnd w:id="410"/>
      <w:r>
        <w:rPr>
          <w:rFonts w:hint="eastAsia" w:ascii="宋体" w:hAnsi="宋体" w:eastAsia="宋体" w:cs="宋体"/>
          <w:sz w:val="28"/>
          <w:szCs w:val="28"/>
        </w:rPr>
        <w:t xml:space="preserve">同价</w:t>
      </w:r>
      <w:bookmarkEnd w:id="411"/>
      <w:r/>
      <w:bookmarkEnd w:id="412"/>
      <w:r/>
      <w:bookmarkEnd w:id="413"/>
      <w:r/>
      <w:bookmarkEnd w:id="414"/>
      <w:r/>
      <w:bookmarkEnd w:id="415"/>
      <w:r/>
      <w:bookmarkEnd w:id="416"/>
      <w:r/>
      <w:bookmarkEnd w:id="417"/>
      <w:r/>
      <w:bookmarkEnd w:id="418"/>
      <w:r>
        <w:rPr>
          <w:rFonts w:hint="eastAsia" w:ascii="宋体" w:hAnsi="宋体" w:eastAsia="宋体" w:cs="宋体"/>
          <w:sz w:val="28"/>
          <w:szCs w:val="28"/>
        </w:rPr>
        <w:t xml:space="preserve">格形式</w:t>
      </w:r>
      <w:r>
        <w:rPr>
          <w:rFonts w:hint="eastAsia" w:ascii="宋体" w:hAnsi="宋体" w:eastAsia="宋体" w:cs="宋体"/>
          <w:sz w:val="28"/>
          <w:szCs w:val="28"/>
        </w:rPr>
        <w:tab/>
      </w:r>
      <w:bookmarkEnd w:id="419"/>
      <w:r/>
      <w:bookmarkEnd w:id="420"/>
      <w:r/>
      <w:bookmarkEnd w:id="421"/>
      <w:r/>
      <w:bookmarkEnd w:id="422"/>
      <w:r/>
      <w:bookmarkEnd w:id="423"/>
      <w:r/>
      <w:bookmarkEnd w:id="424"/>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12.1.1</w:t>
      </w:r>
      <w:r>
        <w:rPr>
          <w:rFonts w:hint="eastAsia" w:ascii="宋体" w:hAnsi="宋体" w:eastAsia="宋体" w:cs="宋体"/>
          <w:sz w:val="28"/>
          <w:szCs w:val="28"/>
        </w:rPr>
        <w:t xml:space="preserve">单价合同。</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综合单价包含的风险范围：</w:t>
      </w:r>
      <w:r>
        <w:rPr>
          <w:rFonts w:hint="eastAsia" w:ascii="宋体" w:hAnsi="宋体" w:eastAsia="宋体" w:cs="宋体"/>
          <w:sz w:val="28"/>
          <w:szCs w:val="28"/>
          <w:u w:val="single"/>
        </w:rPr>
        <w:t xml:space="preserve">  仅对市场波动引起的进行调整 。</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风险费用的计算方法：</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风险范围以外合同价格的调整方法：</w:t>
      </w:r>
      <w:r>
        <w:rPr>
          <w:rFonts w:hint="eastAsia" w:ascii="宋体" w:hAnsi="宋体" w:eastAsia="宋体" w:cs="宋体"/>
          <w:sz w:val="28"/>
          <w:szCs w:val="28"/>
          <w:u w:val="single"/>
        </w:rPr>
        <w:t xml:space="preserve"> 风险费用已包含在合同价中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12.1.2 </w:t>
      </w:r>
      <w:r>
        <w:rPr>
          <w:rFonts w:hint="eastAsia" w:ascii="宋体" w:hAnsi="宋体" w:eastAsia="宋体" w:cs="宋体"/>
          <w:sz w:val="28"/>
          <w:szCs w:val="28"/>
        </w:rPr>
        <w:t xml:space="preserve">总价合同。</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总价包含的风险范围：</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风险费用的计算方法：</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风险范围以外合同价格的调整方法：</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12.1.3</w:t>
      </w:r>
      <w:r>
        <w:rPr>
          <w:rFonts w:hint="eastAsia" w:ascii="宋体" w:hAnsi="宋体" w:eastAsia="宋体" w:cs="宋体"/>
          <w:sz w:val="28"/>
          <w:szCs w:val="28"/>
        </w:rPr>
        <w:t xml:space="preserve">其他价格方式：</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bookmarkStart w:id="425" w:name="_Toc312678042"/>
      <w:r/>
      <w:bookmarkStart w:id="426" w:name="_Toc300935004"/>
      <w:r/>
      <w:bookmarkStart w:id="427" w:name="_Toc304295581"/>
      <w:r/>
      <w:bookmarkStart w:id="428" w:name="_Toc297123554"/>
      <w:r/>
      <w:bookmarkStart w:id="429" w:name="_Toc303539161"/>
      <w:r/>
      <w:bookmarkStart w:id="430" w:name="_Toc297216213"/>
      <w:r/>
      <w:bookmarkStart w:id="431" w:name="_Toc296944546"/>
      <w:r/>
      <w:bookmarkStart w:id="432" w:name="_Toc296346708"/>
      <w:r/>
      <w:bookmarkStart w:id="433" w:name="_Toc296891035"/>
      <w:r/>
      <w:bookmarkStart w:id="434" w:name="_Toc292559917"/>
      <w:r/>
      <w:bookmarkStart w:id="435" w:name="_Toc296891247"/>
      <w:r/>
      <w:bookmarkStart w:id="436" w:name="_Toc292559412"/>
      <w:r/>
      <w:bookmarkStart w:id="437" w:name="_Toc297048393"/>
      <w:r/>
      <w:bookmarkStart w:id="438" w:name="_Toc296503207"/>
      <w:r/>
      <w:bookmarkStart w:id="439" w:name="_Toc297120507"/>
      <w:r/>
      <w:bookmarkStart w:id="440" w:name="_Toc296347206"/>
      <w:r>
        <w:rPr>
          <w:rFonts w:hint="eastAsia" w:ascii="宋体" w:hAnsi="宋体" w:eastAsia="宋体" w:cs="宋体"/>
          <w:sz w:val="28"/>
          <w:szCs w:val="28"/>
        </w:rPr>
        <w:t xml:space="preserve">12.2 预付款</w:t>
      </w:r>
      <w:bookmarkEnd w:id="425"/>
      <w:r/>
      <w:bookmarkEnd w:id="426"/>
      <w:r/>
      <w:bookmarkEnd w:id="427"/>
      <w:r/>
      <w:bookmarkEnd w:id="428"/>
      <w:r/>
      <w:bookmarkEnd w:id="429"/>
      <w:r/>
      <w:bookmarkEnd w:id="430"/>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12.2.1 预付款的支付</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预付款支付比例或金额：</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预付款支付期限：</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预付款扣回的方式：</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12.2.2 预付款担保</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承包人提交预付款担保的期限：</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预付款担保的形式为：</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bookmarkEnd w:id="431"/>
      <w:r/>
      <w:bookmarkEnd w:id="432"/>
      <w:r/>
      <w:bookmarkEnd w:id="433"/>
      <w:r/>
      <w:bookmarkEnd w:id="434"/>
      <w:r/>
      <w:bookmarkEnd w:id="435"/>
      <w:r/>
      <w:bookmarkEnd w:id="436"/>
      <w:r/>
      <w:bookmarkEnd w:id="437"/>
      <w:r/>
      <w:bookmarkEnd w:id="438"/>
      <w:r/>
      <w:bookmarkEnd w:id="439"/>
      <w:r/>
      <w:bookmarkEnd w:id="440"/>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12.3 计量</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12.3.1 计量原则</w:t>
      </w:r>
      <w:r/>
    </w:p>
    <w:p>
      <w:pPr>
        <w:ind w:left="0" w:firstLine="560"/>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工程量计算规则：</w:t>
      </w:r>
      <w:r>
        <w:rPr>
          <w:rFonts w:hint="eastAsia" w:ascii="宋体" w:hAnsi="宋体" w:eastAsia="宋体" w:cs="宋体"/>
          <w:sz w:val="28"/>
          <w:szCs w:val="28"/>
          <w:u w:val="single"/>
        </w:rPr>
        <w:t xml:space="preserve">     本工程执行现行国家标准《建设工程工程量清单计价规范》（GB50500-2013）及《江苏省市政工程计价定额》（2014版）、《江苏省建设工程费用定额》（2014年）、苏建价〔2016〕154号和相应配套文件，以及有关文件规定和招标人提供的工程量清单。</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12.3.2 计量周期</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关于计量周期的约定：</w:t>
      </w:r>
      <w:r>
        <w:rPr>
          <w:rFonts w:hint="eastAsia" w:ascii="宋体" w:hAnsi="宋体" w:eastAsia="宋体" w:cs="宋体"/>
          <w:sz w:val="28"/>
          <w:szCs w:val="28"/>
          <w:u w:val="single"/>
        </w:rPr>
        <w:t xml:space="preserve">       工程量的计量按月进行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12.3.3 单价合同的计量</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关于单价合同计量的约定：</w:t>
      </w:r>
      <w:r>
        <w:rPr>
          <w:rFonts w:hint="eastAsia" w:ascii="宋体" w:hAnsi="宋体" w:eastAsia="宋体" w:cs="宋体"/>
          <w:sz w:val="28"/>
          <w:szCs w:val="28"/>
          <w:u w:val="single"/>
        </w:rPr>
        <w:t xml:space="preserve">1、每月25日前提交本月已完工程量报告；2、工程量的测量、验收、计量由承包人申请经监理、发包人、承包人三方代表现场测量，在质量合格、资料手续完备的前提下，经监理工程师、发包人代表签字确认；3、隐蔽工程需在隐蔽前申请测量、验收、计量，否则不予认可 。</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12.3.4 总价合同的计量</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关于总价合同计量的约定：</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12.3.5总价合同采用支付分解表计量支付的，是否适用第</w:t>
      </w:r>
      <w:r>
        <w:rPr>
          <w:rFonts w:hint="eastAsia" w:ascii="宋体" w:hAnsi="宋体" w:eastAsia="宋体" w:cs="宋体"/>
          <w:sz w:val="28"/>
          <w:szCs w:val="28"/>
        </w:rPr>
        <w:t xml:space="preserve">12.3.4 </w:t>
      </w:r>
      <w:r>
        <w:rPr>
          <w:rFonts w:hint="eastAsia" w:ascii="宋体" w:hAnsi="宋体" w:eastAsia="宋体" w:cs="宋体"/>
          <w:sz w:val="28"/>
          <w:szCs w:val="28"/>
        </w:rPr>
        <w:t xml:space="preserve">项</w:t>
      </w:r>
      <w:r>
        <w:rPr>
          <w:rFonts w:hint="eastAsia" w:ascii="宋体" w:hAnsi="宋体" w:eastAsia="宋体" w:cs="宋体"/>
          <w:sz w:val="28"/>
          <w:szCs w:val="28"/>
        </w:rPr>
        <w:t xml:space="preserve">〔总价合同的计量〕</w:t>
      </w:r>
      <w:r>
        <w:rPr>
          <w:rFonts w:hint="eastAsia" w:ascii="宋体" w:hAnsi="宋体" w:eastAsia="宋体" w:cs="宋体"/>
          <w:sz w:val="28"/>
          <w:szCs w:val="28"/>
        </w:rPr>
        <w:t xml:space="preserve">约定进行计量：</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12.3.6 其他价格形式合同的计量</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其他价格形式的计量方式和程序：</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12.4 工程进度款支付</w:t>
      </w:r>
      <w:r/>
    </w:p>
    <w:p>
      <w:pPr>
        <w:ind w:left="0" w:firstLine="560"/>
        <w:jc w:val="left"/>
        <w:pageBreakBefore w:val="0"/>
        <w:spacing w:line="420" w:lineRule="exact"/>
        <w:rPr>
          <w:rFonts w:hint="eastAsia" w:ascii="宋体" w:hAnsi="宋体" w:eastAsia="宋体" w:cs="宋体"/>
          <w:sz w:val="28"/>
          <w:szCs w:val="28"/>
        </w:rPr>
      </w:pPr>
      <w:r/>
      <w:bookmarkStart w:id="441" w:name="_Toc297048397"/>
      <w:r/>
      <w:bookmarkStart w:id="442" w:name="_Toc296891251"/>
      <w:r/>
      <w:bookmarkStart w:id="443" w:name="_Toc297120511"/>
      <w:r/>
      <w:bookmarkStart w:id="444" w:name="_Toc296944550"/>
      <w:r/>
      <w:bookmarkStart w:id="445" w:name="_Toc303539163"/>
      <w:r/>
      <w:bookmarkStart w:id="446" w:name="_Toc292559921"/>
      <w:r/>
      <w:bookmarkStart w:id="447" w:name="_Toc296346712"/>
      <w:r/>
      <w:bookmarkStart w:id="448" w:name="_Toc296503211"/>
      <w:r/>
      <w:bookmarkStart w:id="449" w:name="_Toc300935006"/>
      <w:r/>
      <w:bookmarkStart w:id="450" w:name="_Toc297123556"/>
      <w:r/>
      <w:bookmarkStart w:id="451" w:name="_Toc297216215"/>
      <w:r/>
      <w:bookmarkStart w:id="452" w:name="_Toc296891039"/>
      <w:r/>
      <w:bookmarkStart w:id="453" w:name="_Toc296347210"/>
      <w:r/>
      <w:bookmarkStart w:id="454" w:name="_Toc292559416"/>
      <w:r>
        <w:rPr>
          <w:rFonts w:hint="eastAsia" w:ascii="宋体" w:hAnsi="宋体" w:eastAsia="宋体" w:cs="宋体"/>
          <w:sz w:val="28"/>
          <w:szCs w:val="28"/>
        </w:rPr>
        <w:t xml:space="preserve">12.4.1 付款周期</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关于付款周期的约定：</w:t>
      </w:r>
      <w:r>
        <w:rPr>
          <w:rFonts w:hint="eastAsia" w:ascii="宋体" w:hAnsi="宋体" w:eastAsia="宋体" w:cs="宋体"/>
          <w:sz w:val="28"/>
          <w:szCs w:val="28"/>
          <w:u w:val="single"/>
        </w:rPr>
        <w:t xml:space="preserve">工程竣工验收合格后按合同价的40%支付工程款；工程竣工结算审计完成后，余款2年内分4次付清，即第一年中秋、春节各付余款25%，第二年中秋、春节各付余款25%。并以沛县审计局审定的工程造价，扣除审减额的5%后作为工程的最终结算依据（具体以实际签订合同为准）。</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12.4.2 进度付款申请单的编制</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关于进度付款申请单编制的约定：</w:t>
      </w:r>
      <w:r>
        <w:rPr>
          <w:rFonts w:hint="eastAsia" w:ascii="宋体" w:hAnsi="宋体" w:eastAsia="宋体" w:cs="宋体"/>
          <w:sz w:val="28"/>
          <w:szCs w:val="28"/>
          <w:u w:val="single"/>
        </w:rPr>
        <w:t xml:space="preserve"> 按通用条款执行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eastAsia="宋体" w:cs="宋体"/>
          <w:sz w:val="28"/>
          <w:szCs w:val="28"/>
        </w:rPr>
        <w:t xml:space="preserve">2.4.3 进度付款申请单的提交</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（1）单价合同进度付款申请单提交的约定：</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（2）总价合同进度付款申请单提交的约定：</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（3）其他价格形式合同进度付款申请单提交的约定：</w:t>
      </w:r>
      <w:r>
        <w:rPr>
          <w:rFonts w:hint="eastAsia" w:ascii="宋体" w:hAnsi="宋体" w:eastAsia="宋体" w:cs="宋体"/>
          <w:sz w:val="28"/>
          <w:szCs w:val="28"/>
          <w:u w:val="single"/>
        </w:rPr>
        <w:t xml:space="preserve">       /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12.4.4 进度款审核和支付</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（1）监理人审查并报送发包人的期限：</w:t>
      </w:r>
      <w:r>
        <w:rPr>
          <w:rFonts w:hint="eastAsia" w:ascii="宋体" w:hAnsi="宋体" w:eastAsia="宋体" w:cs="宋体"/>
          <w:sz w:val="28"/>
          <w:szCs w:val="28"/>
          <w:u w:val="single"/>
        </w:rPr>
        <w:t xml:space="preserve">      按通用条款执行    。</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发包人完成审批并签发进度款支付证书的期限：</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（2）发包人支付进度款的期限：</w:t>
      </w:r>
      <w:r>
        <w:rPr>
          <w:rFonts w:hint="eastAsia" w:ascii="宋体" w:hAnsi="宋体" w:eastAsia="宋体" w:cs="宋体"/>
          <w:sz w:val="28"/>
          <w:szCs w:val="28"/>
          <w:u w:val="single"/>
        </w:rPr>
        <w:t xml:space="preserve">  履行完审批手续后支付  。</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发包人逾期支付进度款的违约金的计算方式：</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12.4.6 支付分解表的编制</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2、总价合同支付分解表的编制与审批：</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3、单价合同的总价项目支付分解表的编制与审批：</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bookmarkEnd w:id="284"/>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455" w:name="_Toc351203645"/>
      <w:r/>
      <w:bookmarkStart w:id="456" w:name="_Toc312678053"/>
      <w:r/>
      <w:bookmarkStart w:id="457" w:name="_Toc296891259"/>
      <w:r/>
      <w:bookmarkStart w:id="458" w:name="_Toc297048405"/>
      <w:r/>
      <w:bookmarkStart w:id="459" w:name="_Toc296891047"/>
      <w:r/>
      <w:bookmarkStart w:id="460" w:name="_Toc300935015"/>
      <w:r/>
      <w:bookmarkStart w:id="461" w:name="_Toc296346720"/>
      <w:r/>
      <w:bookmarkStart w:id="462" w:name="_Toc297120519"/>
      <w:r/>
      <w:bookmarkStart w:id="463" w:name="_Toc296944558"/>
      <w:r/>
      <w:bookmarkStart w:id="464" w:name="_Toc297216223"/>
      <w:r/>
      <w:bookmarkStart w:id="465" w:name="_Toc292559424"/>
      <w:r/>
      <w:bookmarkStart w:id="466" w:name="_Toc292559929"/>
      <w:r/>
      <w:bookmarkStart w:id="467" w:name="_Toc297123564"/>
      <w:r/>
      <w:bookmarkStart w:id="468" w:name="_Toc303539172"/>
      <w:r/>
      <w:bookmarkStart w:id="469" w:name="_Toc296347218"/>
      <w:r/>
      <w:bookmarkStart w:id="470" w:name="_Toc296503219"/>
      <w:r/>
      <w:bookmarkStart w:id="471" w:name="_Toc304295593"/>
      <w:r>
        <w:rPr>
          <w:rFonts w:hint="eastAsia" w:ascii="宋体" w:hAnsi="宋体" w:eastAsia="宋体" w:cs="宋体"/>
          <w:b w:val="0"/>
          <w:bCs/>
          <w:sz w:val="28"/>
          <w:szCs w:val="28"/>
          <w:lang w:val="en-US" w:eastAsia="zh-CN" w:bidi="ar-SA"/>
        </w:rPr>
        <w:t xml:space="preserve">第13条 验收和工程试车</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13.1 分部分项工程验收</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13.1.2监理人不能按时进行验收时，应提前</w:t>
      </w:r>
      <w:r>
        <w:rPr>
          <w:rFonts w:hint="eastAsia" w:ascii="宋体" w:hAnsi="宋体" w:eastAsia="宋体" w:cs="宋体"/>
          <w:sz w:val="28"/>
          <w:szCs w:val="28"/>
          <w:u w:val="single"/>
        </w:rPr>
        <w:t xml:space="preserve">  24  </w:t>
      </w:r>
      <w:r>
        <w:rPr>
          <w:rFonts w:hint="eastAsia" w:ascii="宋体" w:hAnsi="宋体" w:eastAsia="宋体" w:cs="宋体"/>
          <w:sz w:val="28"/>
          <w:szCs w:val="28"/>
        </w:rPr>
        <w:t xml:space="preserve">小时提交书面延期要求。</w:t>
      </w:r>
      <w:r/>
    </w:p>
    <w:p>
      <w:pPr>
        <w:ind w:left="0" w:firstLine="560"/>
        <w:jc w:val="left"/>
        <w:pageBreakBefore w:val="0"/>
        <w:spacing w:line="420" w:lineRule="exact"/>
        <w:rPr>
          <w:rFonts w:hint="eastAsia" w:ascii="宋体" w:hAnsi="宋体" w:eastAsia="宋体" w:cs="宋体"/>
          <w:b/>
          <w:sz w:val="28"/>
          <w:szCs w:val="28"/>
        </w:rPr>
      </w:pPr>
      <w:r>
        <w:rPr>
          <w:rFonts w:hint="eastAsia" w:ascii="宋体" w:hAnsi="宋体" w:eastAsia="宋体" w:cs="宋体"/>
          <w:sz w:val="28"/>
          <w:szCs w:val="28"/>
        </w:rPr>
        <w:t xml:space="preserve">关于延期最长不得超过：</w:t>
      </w:r>
      <w:r>
        <w:rPr>
          <w:rFonts w:hint="eastAsia" w:ascii="宋体" w:hAnsi="宋体" w:eastAsia="宋体" w:cs="宋体"/>
          <w:sz w:val="28"/>
          <w:szCs w:val="28"/>
          <w:u w:val="single"/>
        </w:rPr>
        <w:t xml:space="preserve">   48  </w:t>
      </w:r>
      <w:r>
        <w:rPr>
          <w:rFonts w:hint="eastAsia" w:ascii="宋体" w:hAnsi="宋体" w:eastAsia="宋体" w:cs="宋体"/>
          <w:sz w:val="28"/>
          <w:szCs w:val="28"/>
        </w:rPr>
        <w:t xml:space="preserve">小时。</w:t>
      </w:r>
      <w:r/>
    </w:p>
    <w:p>
      <w:pPr>
        <w:ind w:left="0" w:firstLine="560"/>
        <w:pageBreakBefore w:val="0"/>
        <w:spacing w:line="420" w:lineRule="exact"/>
        <w:rPr>
          <w:rFonts w:hint="eastAsia" w:ascii="宋体" w:hAnsi="宋体" w:eastAsia="宋体" w:cs="宋体"/>
          <w:sz w:val="28"/>
          <w:szCs w:val="28"/>
        </w:rPr>
      </w:pPr>
      <w:r/>
      <w:bookmarkStart w:id="472" w:name="_Toc312678056"/>
      <w:r/>
      <w:bookmarkStart w:id="473" w:name="_Toc300935016"/>
      <w:r/>
      <w:bookmarkStart w:id="474" w:name="_Toc297123565"/>
      <w:r/>
      <w:bookmarkStart w:id="475" w:name="_Toc296347222"/>
      <w:r/>
      <w:bookmarkStart w:id="476" w:name="_Toc296891051"/>
      <w:r/>
      <w:bookmarkStart w:id="477" w:name="_Toc297216224"/>
      <w:r/>
      <w:bookmarkStart w:id="478" w:name="_Toc292559933"/>
      <w:r/>
      <w:bookmarkStart w:id="479" w:name="_Toc297120523"/>
      <w:r/>
      <w:bookmarkStart w:id="480" w:name="_Toc292559428"/>
      <w:r/>
      <w:bookmarkStart w:id="481" w:name="_Toc296891263"/>
      <w:r/>
      <w:bookmarkStart w:id="482" w:name="_Toc304295596"/>
      <w:r/>
      <w:bookmarkStart w:id="483" w:name="_Toc296346724"/>
      <w:r/>
      <w:bookmarkStart w:id="484" w:name="_Toc303539173"/>
      <w:r/>
      <w:bookmarkStart w:id="485" w:name="_Toc297048409"/>
      <w:r/>
      <w:bookmarkStart w:id="486" w:name="_Toc296944562"/>
      <w:r/>
      <w:bookmarkStart w:id="487" w:name="_Toc296503223"/>
      <w:r/>
      <w:bookmarkStart w:id="488" w:name="_Toc267251470"/>
      <w:r/>
      <w:bookmarkStart w:id="489" w:name="_Toc267251472"/>
      <w:r/>
      <w:bookmarkStart w:id="490" w:name="_Toc267251471"/>
      <w:r/>
      <w:bookmarkStart w:id="491" w:name="_Toc267251474"/>
      <w:r/>
      <w:bookmarkStart w:id="492" w:name="_Toc267251473"/>
      <w:r/>
      <w:bookmarkStart w:id="493" w:name="_Toc267251475"/>
      <w:r/>
      <w:bookmarkStart w:id="494" w:name="_Toc267251476"/>
      <w:r>
        <w:rPr>
          <w:rFonts w:hint="eastAsia" w:ascii="宋体" w:hAnsi="宋体" w:eastAsia="宋体" w:cs="宋体"/>
          <w:sz w:val="28"/>
          <w:szCs w:val="28"/>
        </w:rPr>
        <w:t xml:space="preserve">13.2 竣工验收</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
    </w:p>
    <w:p>
      <w:pPr>
        <w:ind w:left="0" w:firstLine="560"/>
        <w:jc w:val="left"/>
        <w:pageBreakBefore w:val="0"/>
        <w:spacing w:line="420" w:lineRule="exact"/>
        <w:rPr>
          <w:rFonts w:hint="eastAsia" w:ascii="宋体" w:hAnsi="宋体" w:eastAsia="宋体" w:cs="宋体"/>
          <w:sz w:val="28"/>
          <w:szCs w:val="28"/>
        </w:rPr>
      </w:pPr>
      <w:r/>
      <w:bookmarkStart w:id="495" w:name="_Toc280868704"/>
      <w:r/>
      <w:bookmarkStart w:id="496" w:name="_Toc280868705"/>
      <w:r/>
      <w:bookmarkStart w:id="497" w:name="_Toc280868706"/>
      <w:r/>
      <w:bookmarkStart w:id="498" w:name="_Toc280868707"/>
      <w:r/>
      <w:bookmarkStart w:id="499" w:name="_Toc280868708"/>
      <w:r/>
      <w:bookmarkStart w:id="500" w:name="_Toc280868709"/>
      <w:r>
        <w:rPr>
          <w:rFonts w:hint="eastAsia" w:ascii="宋体" w:hAnsi="宋体" w:eastAsia="宋体" w:cs="宋体"/>
          <w:sz w:val="28"/>
          <w:szCs w:val="28"/>
        </w:rPr>
        <w:t xml:space="preserve">13.2.2竣工验收程序</w:t>
      </w:r>
      <w:bookmarkEnd w:id="495"/>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关于竣工验收程序的约定：</w:t>
      </w:r>
      <w:r>
        <w:rPr>
          <w:rFonts w:hint="eastAsia" w:ascii="宋体" w:hAnsi="宋体" w:eastAsia="宋体" w:cs="宋体"/>
          <w:sz w:val="28"/>
          <w:szCs w:val="28"/>
          <w:u w:val="single"/>
        </w:rPr>
        <w:t xml:space="preserve"> 工程具备以下条件的，承包人可以申请竣工验收：</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（1）除发包人同意的甩项工作和缺陷修补工作外，合同范围内的全部工程以及有关工作，包括合同要求的试验、试运行以及检验均已完成，并符合合同要求；</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（2）已按合同约定编制了甩项工作和缺陷修补工作清单以及相应的施工计划；</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（3）已按合同约定的内容和份数备齐竣工资料。</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发包人不按照本项约定组织竣工验收、颁发工程接收证书的违约金的计算方法：</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bookmarkEnd w:id="496"/>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13.2.5移交、接收全部与部分工程</w:t>
      </w:r>
      <w:bookmarkEnd w:id="497"/>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承包人向发包人移交工程的期限：</w:t>
      </w:r>
      <w:r>
        <w:rPr>
          <w:rFonts w:hint="eastAsia" w:ascii="宋体" w:hAnsi="宋体" w:eastAsia="宋体" w:cs="宋体"/>
          <w:sz w:val="28"/>
          <w:szCs w:val="28"/>
          <w:u w:val="single"/>
        </w:rPr>
        <w:t xml:space="preserve"> 合同当事人应当在颁发工程接收证书后7天内完成工程的移交。有向其他部门移交需求的，承包人需按要求移交，否则招标人可</w:t>
      </w:r>
      <w:r>
        <w:rPr>
          <w:rFonts w:hint="eastAsia" w:ascii="宋体" w:hAnsi="宋体" w:eastAsia="宋体" w:cs="宋体"/>
          <w:sz w:val="28"/>
          <w:szCs w:val="28"/>
          <w:u w:val="single"/>
          <w:lang w:val="en-US" w:eastAsia="zh-CN"/>
        </w:rPr>
        <w:t xml:space="preserve">拒绝</w:t>
      </w:r>
      <w:r>
        <w:rPr>
          <w:rFonts w:hint="eastAsia" w:ascii="宋体" w:hAnsi="宋体" w:eastAsia="宋体" w:cs="宋体"/>
          <w:sz w:val="28"/>
          <w:szCs w:val="28"/>
          <w:u w:val="single"/>
        </w:rPr>
        <w:t xml:space="preserve">支付工程款。</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发包人未按本合同约定接收全部或部分工程的，违约金的计算方法为：</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bookmarkEnd w:id="498"/>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承包人未按时移交工程的，违约金的计算方法为：</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13.3 工程试车</w:t>
      </w:r>
      <w:bookmarkEnd w:id="499"/>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13.3.1 试车程序</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工程试车内容：</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（1）单机无负荷试车费用由</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承担；</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（2）无负荷联动试车费用由</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承担。</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13.3.3 投料试车</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关于投料试车相关事项的约定：</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13.6 竣工退场</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13.6.1 竣工退场</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承包人完成竣工退场的期限：</w:t>
      </w:r>
      <w:r>
        <w:rPr>
          <w:rFonts w:hint="eastAsia" w:ascii="宋体" w:hAnsi="宋体" w:eastAsia="宋体" w:cs="宋体"/>
          <w:sz w:val="28"/>
          <w:szCs w:val="28"/>
          <w:u w:val="single"/>
        </w:rPr>
        <w:t xml:space="preserve">        7日内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501" w:name="_Toc351203646"/>
      <w:r>
        <w:rPr>
          <w:rFonts w:hint="eastAsia" w:ascii="宋体" w:hAnsi="宋体" w:eastAsia="宋体" w:cs="宋体"/>
          <w:b w:val="0"/>
          <w:bCs/>
          <w:sz w:val="28"/>
          <w:szCs w:val="28"/>
          <w:lang w:val="en-US" w:eastAsia="zh-CN" w:bidi="ar-SA"/>
        </w:rPr>
        <w:t xml:space="preserve">第14条 竣工结算</w:t>
      </w:r>
      <w:bookmarkEnd w:id="501"/>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14.1 竣工结算申请</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承包人提交竣工结算申请单的期限：</w:t>
      </w:r>
      <w:r>
        <w:rPr>
          <w:rFonts w:hint="eastAsia" w:ascii="宋体" w:hAnsi="宋体" w:eastAsia="宋体" w:cs="宋体"/>
          <w:sz w:val="28"/>
          <w:szCs w:val="28"/>
          <w:u w:val="single"/>
        </w:rPr>
        <w:t xml:space="preserve">  承包人应在工程竣工验收合格后28天内向发包人和监理人提交竣工结算申请单，并提交完整的结算资料    。</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竣工结算申请单应包括的内容：</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（1）竣工结算合同价格；</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（2）发包人已支付承包人的款项；</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（3）应扣留的质量保证金； </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（4）发包人应支付承包人的合同价款。</w:t>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14.2 竣工结算审核</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发包人审批竣工付款申请单的期限：</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w:t>
      </w:r>
      <w:r>
        <w:rPr>
          <w:rFonts w:hint="eastAsia" w:ascii="宋体" w:hAnsi="宋体" w:eastAsia="宋体" w:cs="宋体"/>
          <w:sz w:val="28"/>
          <w:szCs w:val="28"/>
          <w:u w:val="single"/>
        </w:rPr>
        <w:t xml:space="preserve">     。</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发包人完成竣工付款的期限：</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w:t>
      </w:r>
      <w:r>
        <w:rPr>
          <w:rFonts w:hint="eastAsia" w:ascii="宋体" w:hAnsi="宋体" w:eastAsia="宋体" w:cs="宋体"/>
          <w:sz w:val="28"/>
          <w:szCs w:val="28"/>
          <w:u w:val="single"/>
        </w:rPr>
        <w:t xml:space="preserve"> 。</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关于竣工付款证书异议部分复核的方式和程序：</w:t>
      </w:r>
      <w:r>
        <w:rPr>
          <w:rFonts w:hint="eastAsia" w:ascii="宋体" w:hAnsi="宋体" w:eastAsia="宋体" w:cs="宋体"/>
          <w:sz w:val="28"/>
          <w:szCs w:val="28"/>
          <w:u w:val="single"/>
        </w:rPr>
        <w:t xml:space="preserve">按通用条款执行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14.4 最终结清</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14.4.1 最终结清申请单</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承包人提交最终结清申请单的份数：</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承包人提交最终结算申请单的期限：</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 </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14.4.2 最终结清证书和支付</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（1）发包人完成最终结清申请单的审批并颁发最终结清证书的期限：</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w:t>
      </w:r>
      <w:r>
        <w:rPr>
          <w:rFonts w:hint="eastAsia" w:ascii="宋体" w:hAnsi="宋体" w:eastAsia="宋体" w:cs="宋体"/>
          <w:sz w:val="28"/>
          <w:szCs w:val="28"/>
          <w:u w:val="single"/>
        </w:rPr>
        <w:t xml:space="preserve"> 。</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（2）发包人完成支付的期限：</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w:t>
      </w:r>
      <w:r>
        <w:rPr>
          <w:rFonts w:hint="eastAsia" w:ascii="宋体" w:hAnsi="宋体" w:eastAsia="宋体" w:cs="宋体"/>
          <w:sz w:val="28"/>
          <w:szCs w:val="28"/>
          <w:u w:val="single"/>
        </w:rPr>
        <w:t xml:space="preserve">  。</w:t>
      </w:r>
      <w:bookmarkEnd w:id="488"/>
      <w:r/>
      <w:bookmarkEnd w:id="489"/>
      <w:r/>
      <w:bookmarkEnd w:id="490"/>
      <w:r/>
      <w:bookmarkEnd w:id="491"/>
      <w:r/>
      <w:bookmarkEnd w:id="492"/>
      <w:r/>
      <w:bookmarkEnd w:id="493"/>
      <w:r/>
      <w:bookmarkEnd w:id="494"/>
      <w:r/>
      <w:bookmarkEnd w:id="500"/>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502" w:name="_Toc351203647"/>
      <w:r/>
      <w:bookmarkStart w:id="503" w:name="_Toc267251483"/>
      <w:r/>
      <w:bookmarkStart w:id="504" w:name="_Toc267251484"/>
      <w:r/>
      <w:bookmarkStart w:id="505" w:name="_Toc267251482"/>
      <w:r/>
      <w:bookmarkStart w:id="506" w:name="_Toc267251485"/>
      <w:r/>
      <w:bookmarkStart w:id="507" w:name="_Toc267251489"/>
      <w:r/>
      <w:bookmarkStart w:id="508" w:name="_Toc267251488"/>
      <w:r/>
      <w:bookmarkStart w:id="509" w:name="_Toc267251486"/>
      <w:r/>
      <w:bookmarkStart w:id="510" w:name="_Toc267251490"/>
      <w:r/>
      <w:bookmarkStart w:id="511" w:name="_Toc267251491"/>
      <w:r/>
      <w:bookmarkStart w:id="512" w:name="_Toc267251497"/>
      <w:r/>
      <w:bookmarkStart w:id="513" w:name="_Toc267251493"/>
      <w:r/>
      <w:bookmarkStart w:id="514" w:name="_Toc267251502"/>
      <w:r/>
      <w:bookmarkStart w:id="515" w:name="_Toc267251494"/>
      <w:r/>
      <w:bookmarkStart w:id="516" w:name="_Toc267251495"/>
      <w:r/>
      <w:bookmarkStart w:id="517" w:name="_Toc267251498"/>
      <w:r/>
      <w:bookmarkStart w:id="518" w:name="_Toc267251496"/>
      <w:r/>
      <w:bookmarkStart w:id="519" w:name="_Toc267251499"/>
      <w:r/>
      <w:bookmarkStart w:id="520" w:name="_Toc267251492"/>
      <w:r/>
      <w:bookmarkStart w:id="521" w:name="_Toc267251503"/>
      <w:r/>
      <w:bookmarkStart w:id="522" w:name="_Toc267251501"/>
      <w:r/>
      <w:bookmarkStart w:id="523" w:name="_Toc267251504"/>
      <w:r/>
      <w:bookmarkStart w:id="524" w:name="_Toc267251506"/>
      <w:r/>
      <w:bookmarkStart w:id="525" w:name="_Toc267251507"/>
      <w:r/>
      <w:bookmarkStart w:id="526" w:name="_Toc267251508"/>
      <w:r/>
      <w:bookmarkStart w:id="527" w:name="_Toc267251511"/>
      <w:r/>
      <w:bookmarkStart w:id="528" w:name="_Toc267251515"/>
      <w:r/>
      <w:bookmarkStart w:id="529" w:name="_Toc267251514"/>
      <w:r/>
      <w:bookmarkStart w:id="530" w:name="_Toc267251509"/>
      <w:r/>
      <w:bookmarkStart w:id="531" w:name="_Toc267251510"/>
      <w:r/>
      <w:bookmarkStart w:id="532" w:name="_Toc267251513"/>
      <w:r>
        <w:rPr>
          <w:rFonts w:hint="eastAsia" w:ascii="宋体" w:hAnsi="宋体" w:eastAsia="宋体" w:cs="宋体"/>
          <w:b w:val="0"/>
          <w:bCs/>
          <w:sz w:val="28"/>
          <w:szCs w:val="28"/>
          <w:lang w:val="en-US" w:eastAsia="zh-CN" w:bidi="ar-SA"/>
        </w:rPr>
        <w:t xml:space="preserve">第15条 缺陷责任期与保修</w:t>
      </w:r>
      <w:bookmarkEnd w:id="502"/>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15.2缺陷责任期</w:t>
      </w:r>
      <w:bookmarkEnd w:id="503"/>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缺陷责任期的具体期限：</w:t>
      </w:r>
      <w:r>
        <w:rPr>
          <w:rFonts w:hint="eastAsia" w:ascii="宋体" w:hAnsi="宋体" w:eastAsia="宋体" w:cs="宋体"/>
          <w:sz w:val="28"/>
          <w:szCs w:val="28"/>
          <w:u w:val="single"/>
        </w:rPr>
        <w:t xml:space="preserve">      24个月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15.3 质量保证金</w:t>
      </w:r>
      <w:r/>
    </w:p>
    <w:p>
      <w:pPr>
        <w:ind w:left="0" w:firstLine="560"/>
        <w:jc w:val="left"/>
        <w:pageBreakBefore w:val="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关于是否扣留质量保证金的约定：</w:t>
      </w:r>
      <w:r>
        <w:rPr>
          <w:rFonts w:hint="eastAsia" w:ascii="宋体" w:hAnsi="宋体" w:eastAsia="宋体" w:cs="宋体"/>
          <w:color w:val="auto"/>
          <w:sz w:val="28"/>
          <w:szCs w:val="28"/>
          <w:u w:val="single"/>
        </w:rPr>
        <w:t xml:space="preserve">  扣留   </w:t>
      </w:r>
      <w:r>
        <w:rPr>
          <w:rFonts w:hint="eastAsia" w:ascii="宋体" w:hAnsi="宋体" w:eastAsia="宋体" w:cs="宋体"/>
          <w:color w:val="auto"/>
          <w:sz w:val="28"/>
          <w:szCs w:val="28"/>
        </w:rPr>
        <w:t xml:space="preserve">。在工程项目竣工前，承包人按专用合同条款第3.7条提供履约担保的，发包人不得同时预留工程质量保证金。</w:t>
      </w:r>
      <w:r/>
    </w:p>
    <w:p>
      <w:pPr>
        <w:ind w:left="0" w:firstLine="560"/>
        <w:jc w:val="left"/>
        <w:pageBreakBefore w:val="0"/>
        <w:spacing w:line="420" w:lineRule="exact"/>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15.3.1 承包人提供质量保证金的方式</w:t>
      </w:r>
      <w:r/>
    </w:p>
    <w:p>
      <w:pPr>
        <w:ind w:left="0" w:firstLine="560"/>
        <w:jc w:val="left"/>
        <w:pageBreakBefore w:val="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质量保证金采用以下第</w:t>
      </w:r>
      <w:r>
        <w:rPr>
          <w:rFonts w:hint="eastAsia" w:ascii="宋体" w:hAnsi="宋体" w:eastAsia="宋体" w:cs="宋体"/>
          <w:color w:val="auto"/>
          <w:sz w:val="28"/>
          <w:szCs w:val="28"/>
          <w:u w:val="single"/>
        </w:rPr>
        <w:t xml:space="preserve">  2   </w:t>
      </w:r>
      <w:r>
        <w:rPr>
          <w:rFonts w:hint="eastAsia" w:ascii="宋体" w:hAnsi="宋体" w:eastAsia="宋体" w:cs="宋体"/>
          <w:color w:val="auto"/>
          <w:sz w:val="28"/>
          <w:szCs w:val="28"/>
        </w:rPr>
        <w:t xml:space="preserve">种方式：</w:t>
      </w:r>
      <w:r/>
    </w:p>
    <w:p>
      <w:pPr>
        <w:ind w:left="0" w:firstLine="560"/>
        <w:jc w:val="left"/>
        <w:pageBreakBefore w:val="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（1）质量保证金保函，保证金额为：</w:t>
      </w:r>
      <w:r>
        <w:rPr>
          <w:rFonts w:hint="eastAsia" w:ascii="宋体" w:hAnsi="宋体" w:eastAsia="宋体" w:cs="宋体"/>
          <w:color w:val="auto"/>
          <w:sz w:val="28"/>
          <w:szCs w:val="28"/>
          <w:u w:val="single"/>
        </w:rPr>
        <w:t xml:space="preserve">       /            </w:t>
      </w:r>
      <w:r>
        <w:rPr>
          <w:rFonts w:hint="eastAsia" w:ascii="宋体" w:hAnsi="宋体" w:eastAsia="宋体" w:cs="宋体"/>
          <w:color w:val="auto"/>
          <w:sz w:val="28"/>
          <w:szCs w:val="28"/>
        </w:rPr>
        <w:t xml:space="preserve">； </w:t>
      </w:r>
      <w:r/>
    </w:p>
    <w:p>
      <w:pPr>
        <w:ind w:left="0" w:firstLine="560"/>
        <w:jc w:val="left"/>
        <w:pageBreakBefore w:val="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u w:val="single"/>
        </w:rPr>
        <w:t xml:space="preserve">    3  </w:t>
      </w:r>
      <w:r>
        <w:rPr>
          <w:rFonts w:hint="eastAsia" w:ascii="宋体" w:hAnsi="宋体" w:eastAsia="宋体" w:cs="宋体"/>
          <w:color w:val="auto"/>
          <w:sz w:val="28"/>
          <w:szCs w:val="28"/>
        </w:rPr>
        <w:t xml:space="preserve">%的工程款；</w:t>
      </w:r>
      <w:r/>
    </w:p>
    <w:p>
      <w:pPr>
        <w:ind w:left="0" w:firstLine="560"/>
        <w:jc w:val="left"/>
        <w:pageBreakBefore w:val="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（3）其他方式:</w:t>
      </w:r>
      <w:r>
        <w:rPr>
          <w:rFonts w:hint="eastAsia" w:ascii="宋体" w:hAnsi="宋体" w:eastAsia="宋体" w:cs="宋体"/>
          <w:color w:val="auto"/>
          <w:sz w:val="28"/>
          <w:szCs w:val="28"/>
          <w:u w:val="single"/>
        </w:rPr>
        <w:t xml:space="preserve">                     /             </w:t>
      </w:r>
      <w:r>
        <w:rPr>
          <w:rFonts w:hint="eastAsia" w:ascii="宋体" w:hAnsi="宋体" w:eastAsia="宋体" w:cs="宋体"/>
          <w:color w:val="auto"/>
          <w:sz w:val="28"/>
          <w:szCs w:val="28"/>
        </w:rPr>
        <w:t xml:space="preserve">。</w:t>
      </w:r>
      <w:r/>
    </w:p>
    <w:p>
      <w:pPr>
        <w:ind w:left="0" w:firstLine="560"/>
        <w:jc w:val="left"/>
        <w:pageBreakBefore w:val="0"/>
        <w:spacing w:line="420" w:lineRule="exact"/>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15.3.2 质量保证金的扣留 </w:t>
      </w:r>
      <w:r/>
    </w:p>
    <w:p>
      <w:pPr>
        <w:ind w:left="0" w:firstLine="560"/>
        <w:jc w:val="left"/>
        <w:pageBreakBefore w:val="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质量保证金的扣留采取以下第</w:t>
      </w:r>
      <w:r>
        <w:rPr>
          <w:rFonts w:hint="eastAsia" w:ascii="宋体" w:hAnsi="宋体" w:eastAsia="宋体" w:cs="宋体"/>
          <w:color w:val="auto"/>
          <w:sz w:val="28"/>
          <w:szCs w:val="28"/>
          <w:u w:val="single"/>
        </w:rPr>
        <w:t xml:space="preserve">   3  </w:t>
      </w:r>
      <w:r>
        <w:rPr>
          <w:rFonts w:hint="eastAsia" w:ascii="宋体" w:hAnsi="宋体" w:eastAsia="宋体" w:cs="宋体"/>
          <w:color w:val="auto"/>
          <w:sz w:val="28"/>
          <w:szCs w:val="28"/>
        </w:rPr>
        <w:t xml:space="preserve">种方式：在工程项目竣工前，承包人按专用合同条款第3.7条提供履约担保的，发包人不得同时预留工程质量保证金。</w:t>
      </w:r>
      <w:r/>
    </w:p>
    <w:p>
      <w:pPr>
        <w:ind w:left="0" w:firstLine="560"/>
        <w:jc w:val="left"/>
        <w:pageBreakBefore w:val="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（1）在支付工程进度款时逐次扣留，在此情形下，质量保证金的计算基数不包括预付款的支付、扣回以及价格调整的金额；</w:t>
      </w:r>
      <w:r/>
    </w:p>
    <w:p>
      <w:pPr>
        <w:ind w:left="0" w:firstLine="560"/>
        <w:pageBreakBefore w:val="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（2）工程竣工结算时一次性扣留质量保证金；</w:t>
      </w:r>
      <w:r/>
    </w:p>
    <w:p>
      <w:pPr>
        <w:ind w:left="0" w:firstLine="560"/>
        <w:jc w:val="left"/>
        <w:pageBreakBefore w:val="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（3）其他扣留方式:</w:t>
      </w:r>
      <w:r>
        <w:rPr>
          <w:rFonts w:hint="eastAsia" w:ascii="宋体" w:hAnsi="宋体" w:eastAsia="宋体" w:cs="宋体"/>
          <w:color w:val="auto"/>
          <w:sz w:val="28"/>
          <w:szCs w:val="28"/>
          <w:u w:val="single"/>
        </w:rPr>
        <w:t xml:space="preserve">   从最后一批应付工程款扣留    </w:t>
      </w:r>
      <w:r>
        <w:rPr>
          <w:rFonts w:hint="eastAsia" w:ascii="宋体" w:hAnsi="宋体" w:eastAsia="宋体" w:cs="宋体"/>
          <w:color w:val="auto"/>
          <w:sz w:val="28"/>
          <w:szCs w:val="28"/>
        </w:rPr>
        <w:t xml:space="preserve">。</w:t>
      </w:r>
      <w:r/>
    </w:p>
    <w:p>
      <w:pPr>
        <w:ind w:left="0" w:firstLine="560"/>
        <w:jc w:val="left"/>
        <w:pageBreakBefore w:val="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关于质量保证金的补充约定：</w:t>
      </w:r>
      <w:r>
        <w:rPr>
          <w:rFonts w:hint="eastAsia" w:ascii="宋体" w:hAnsi="宋体" w:eastAsia="宋体" w:cs="宋体"/>
          <w:color w:val="auto"/>
          <w:sz w:val="28"/>
          <w:szCs w:val="28"/>
          <w:u w:val="single"/>
        </w:rPr>
        <w:t xml:space="preserve">      /                 </w:t>
      </w:r>
      <w:r>
        <w:rPr>
          <w:rFonts w:hint="eastAsia" w:ascii="宋体" w:hAnsi="宋体" w:eastAsia="宋体" w:cs="宋体"/>
          <w:color w:val="auto"/>
          <w:sz w:val="28"/>
          <w:szCs w:val="28"/>
        </w:rPr>
        <w:t xml:space="preserve">。</w:t>
      </w:r>
      <w:bookmarkEnd w:id="504"/>
      <w:r/>
      <w:bookmarkEnd w:id="505"/>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15.4保修</w:t>
      </w:r>
      <w:bookmarkEnd w:id="506"/>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15.4.1 保修责任</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工程保修期为：</w:t>
      </w:r>
      <w:r>
        <w:rPr>
          <w:rFonts w:hint="eastAsia" w:ascii="宋体" w:hAnsi="宋体" w:eastAsia="宋体" w:cs="宋体"/>
          <w:sz w:val="28"/>
          <w:szCs w:val="28"/>
          <w:u w:val="single"/>
        </w:rPr>
        <w:t xml:space="preserve">     详见保修书。  </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15.4.3 修复通知</w:t>
      </w:r>
      <w:r/>
    </w:p>
    <w:p>
      <w:pPr>
        <w:ind w:left="0" w:firstLine="560"/>
        <w:jc w:val="left"/>
        <w:pageBreakBefore w:val="0"/>
        <w:spacing w:line="420" w:lineRule="exact"/>
        <w:tabs>
          <w:tab w:val="left" w:pos="6804" w:leader="none"/>
        </w:tabs>
        <w:rPr>
          <w:rFonts w:hint="eastAsia" w:ascii="宋体" w:hAnsi="宋体" w:eastAsia="宋体" w:cs="宋体"/>
          <w:sz w:val="28"/>
          <w:szCs w:val="28"/>
        </w:rPr>
      </w:pPr>
      <w:r>
        <w:rPr>
          <w:rFonts w:hint="eastAsia" w:ascii="宋体" w:hAnsi="宋体" w:eastAsia="宋体" w:cs="宋体"/>
          <w:sz w:val="28"/>
          <w:szCs w:val="28"/>
        </w:rPr>
        <w:t xml:space="preserve">承包人收到保修通知并到达工程现场的合理时间：</w:t>
      </w:r>
      <w:r>
        <w:rPr>
          <w:rFonts w:hint="eastAsia" w:ascii="宋体" w:hAnsi="宋体" w:eastAsia="宋体" w:cs="宋体"/>
          <w:sz w:val="28"/>
          <w:szCs w:val="28"/>
          <w:u w:val="single"/>
        </w:rPr>
        <w:t xml:space="preserve">         24小时内                </w:t>
      </w:r>
      <w:r>
        <w:rPr>
          <w:rFonts w:hint="eastAsia" w:ascii="宋体" w:hAnsi="宋体" w:eastAsia="宋体" w:cs="宋体"/>
          <w:sz w:val="28"/>
          <w:szCs w:val="28"/>
        </w:rPr>
        <w:t xml:space="preserve">。</w:t>
      </w:r>
      <w:bookmarkEnd w:id="507"/>
      <w:r/>
      <w:bookmarkEnd w:id="508"/>
      <w:r/>
      <w:bookmarkEnd w:id="509"/>
      <w:r/>
      <w:bookmarkEnd w:id="510"/>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533" w:name="_Toc351203648"/>
      <w:r/>
      <w:bookmarkStart w:id="534" w:name="_Toc280868717"/>
      <w:r/>
      <w:bookmarkStart w:id="535" w:name="_Toc280868718"/>
      <w:r>
        <w:rPr>
          <w:rFonts w:hint="eastAsia" w:ascii="宋体" w:hAnsi="宋体" w:eastAsia="宋体" w:cs="宋体"/>
          <w:b w:val="0"/>
          <w:bCs/>
          <w:sz w:val="28"/>
          <w:szCs w:val="28"/>
          <w:lang w:val="en-US" w:eastAsia="zh-CN" w:bidi="ar-SA"/>
        </w:rPr>
        <w:t xml:space="preserve">第16条 违约</w:t>
      </w:r>
      <w:bookmarkEnd w:id="533"/>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16.1 发包人违约</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16.1.1发包人违约的情形</w:t>
      </w:r>
      <w:r/>
    </w:p>
    <w:p>
      <w:pPr>
        <w:ind w:left="0" w:firstLine="560"/>
        <w:jc w:val="left"/>
        <w:pageBreakBefore w:val="0"/>
        <w:spacing w:line="4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发包人违约的其他情形：</w:t>
      </w:r>
      <w:r>
        <w:rPr>
          <w:rFonts w:hint="eastAsia" w:ascii="宋体" w:hAnsi="宋体" w:eastAsia="宋体" w:cs="宋体"/>
          <w:sz w:val="28"/>
          <w:szCs w:val="28"/>
          <w:u w:val="single"/>
        </w:rPr>
        <w:t xml:space="preserve">   /        </w:t>
      </w:r>
      <w:r>
        <w:rPr>
          <w:rFonts w:hint="eastAsia" w:ascii="宋体" w:hAnsi="宋体" w:eastAsia="宋体" w:cs="宋体"/>
          <w:sz w:val="28"/>
          <w:szCs w:val="28"/>
          <w:u w:val="single"/>
          <w:lang w:eastAsia="zh-CN"/>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发包人违约责任的承担方式和计算方法：</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（1）因发包人原因未能在计划开工日期前7天内下达开工通知的违约责任：</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（2）因发包人原因/未能按合同约定支付合同价款的违约责任：</w:t>
      </w:r>
      <w:r>
        <w:rPr>
          <w:rFonts w:hint="eastAsia" w:ascii="宋体" w:hAnsi="宋体" w:eastAsia="宋体" w:cs="宋体"/>
          <w:sz w:val="28"/>
          <w:szCs w:val="28"/>
          <w:u w:val="single"/>
          <w:lang w:val="en-US" w:eastAsia="zh-CN"/>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（3）发包人违反第10.1款〔变更的范围〕第（2）项约定，自行实施被取消的工作或转由他人实施的违约责任：</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（5）因发包人违反合同约定造成暂停施工的违约责任：</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（6）发包人无正当理由没有在约定期限内发出复工指示，导致承包人无法复工的违约责任：</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（7）其他：</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16.1.3 因发包人违约解除合同</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承包人按16.1.1项〔发包人违约的情形〕约定暂停施工满</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天后发包人仍不纠正其违约行为并致使合同目的不能实现的，承包人有权解除合同。</w:t>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16.2 承包人违约</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16.2.1 承包人违约的情形</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承包人违约的其他情形：</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承包人未按期完工、未按施工计划施工，应承担的违约责任以及延期的发包人享有合同解除权。以及承包人应对施工人员的人身安全负责并承担赔偿责任</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16.2.2承包人违约的责任</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承包人违约责任的承担方式和计算方法：</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w:t>
      </w:r>
      <w:r>
        <w:rPr>
          <w:rFonts w:hint="eastAsia" w:ascii="宋体" w:hAnsi="宋体" w:eastAsia="宋体" w:cs="宋体"/>
          <w:sz w:val="28"/>
          <w:szCs w:val="28"/>
          <w:u w:val="single"/>
        </w:rPr>
        <w:t xml:space="preserve">          </w:t>
      </w:r>
      <w:r/>
    </w:p>
    <w:p>
      <w:pPr>
        <w:ind w:left="0" w:firstLine="560"/>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1、施工中出现质量问题，由承包人无偿返工至合格，并承担一切后果及经济赔偿责任，且工期不予顺延 ；2、如承包人违约，当约定的违约金不足以弥补发包人所受到的损失时，还应赔偿损失。</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16.2.3 因承包人违约解除合同</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关于承包人违约解除合同的特别约定：</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bCs/>
          <w:sz w:val="28"/>
          <w:szCs w:val="28"/>
          <w:u w:val="single"/>
        </w:rPr>
      </w:pPr>
      <w:r>
        <w:rPr>
          <w:rFonts w:hint="eastAsia" w:ascii="宋体" w:hAnsi="宋体" w:eastAsia="宋体" w:cs="宋体"/>
          <w:sz w:val="28"/>
          <w:szCs w:val="28"/>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8"/>
          <w:szCs w:val="28"/>
          <w:u w:val="single"/>
        </w:rPr>
        <w:t xml:space="preserve">   /   。 </w:t>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536" w:name="_Toc351203649"/>
      <w:r>
        <w:rPr>
          <w:rFonts w:hint="eastAsia" w:ascii="宋体" w:hAnsi="宋体" w:eastAsia="宋体" w:cs="宋体"/>
          <w:b w:val="0"/>
          <w:bCs/>
          <w:sz w:val="28"/>
          <w:szCs w:val="28"/>
          <w:lang w:val="en-US" w:eastAsia="zh-CN" w:bidi="ar-SA"/>
        </w:rPr>
        <w:t xml:space="preserve">第17条 不可抗力</w:t>
      </w:r>
      <w:bookmarkEnd w:id="536"/>
      <w:r>
        <w:rPr>
          <w:rFonts w:hint="eastAsia" w:ascii="宋体" w:hAnsi="宋体" w:eastAsia="宋体" w:cs="宋体"/>
          <w:b w:val="0"/>
          <w:bCs/>
          <w:sz w:val="28"/>
          <w:szCs w:val="28"/>
          <w:lang w:val="en-US" w:eastAsia="zh-CN" w:bidi="ar-SA"/>
        </w:rPr>
        <w:t xml:space="preserve"> </w:t>
      </w:r>
      <w:bookmarkEnd w:id="534"/>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17.1 不可抗力的确认</w:t>
      </w:r>
      <w:r/>
    </w:p>
    <w:p>
      <w:pPr>
        <w:ind w:left="0" w:firstLine="560"/>
        <w:pageBreakBefore w:val="0"/>
        <w:spacing w:line="420" w:lineRule="exact"/>
        <w:rPr>
          <w:rFonts w:hint="eastAsia" w:ascii="宋体" w:hAnsi="宋体" w:eastAsia="宋体" w:cs="宋体"/>
          <w:bCs/>
          <w:sz w:val="28"/>
          <w:szCs w:val="28"/>
          <w:u w:val="single"/>
        </w:rPr>
      </w:pPr>
      <w:r>
        <w:rPr>
          <w:rFonts w:hint="eastAsia" w:ascii="宋体" w:hAnsi="宋体" w:eastAsia="宋体" w:cs="宋体"/>
          <w:sz w:val="28"/>
          <w:szCs w:val="28"/>
        </w:rPr>
        <w:t xml:space="preserve">除通用合同条款约定的不可抗力事件之外，视为不可抗力的其他情形： </w:t>
      </w:r>
      <w:r>
        <w:rPr>
          <w:rFonts w:hint="eastAsia" w:ascii="宋体" w:hAnsi="宋体" w:eastAsia="宋体" w:cs="宋体"/>
          <w:sz w:val="28"/>
          <w:szCs w:val="28"/>
          <w:u w:val="single"/>
        </w:rPr>
        <w:t xml:space="preserve"> </w:t>
      </w:r>
      <w:r>
        <w:rPr>
          <w:rFonts w:hint="eastAsia" w:ascii="宋体" w:hAnsi="宋体" w:eastAsia="宋体" w:cs="宋体"/>
          <w:bCs/>
          <w:sz w:val="28"/>
          <w:szCs w:val="28"/>
          <w:u w:val="single"/>
        </w:rPr>
        <w:t xml:space="preserve">① 24小时连续雨量达到150mm以上的暴雨（以气象台发布的公告为准）、冰雹。② 台风、里氏8.0及以上地震、战争、动乱、洪水、空中飞行物坠落或其他非发包人、承包人责任造成的爆炸火灾。</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bCs/>
          <w:sz w:val="28"/>
          <w:szCs w:val="28"/>
          <w:u w:val="single"/>
        </w:rPr>
        <w:t xml:space="preserve">遇有上述不可抗力的一方，应立即将事故情况通报对方，并应在7日内提供详情及合同不能履行或部分不能履行或需要延期履行的理由的有效证明文件。</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17.4 因不可抗力解除合同</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合同解除后，发包人应在商定或确定发包人应支付款项后</w:t>
      </w:r>
      <w:r>
        <w:rPr>
          <w:rFonts w:hint="eastAsia" w:ascii="宋体" w:hAnsi="宋体" w:eastAsia="宋体" w:cs="宋体"/>
          <w:sz w:val="28"/>
          <w:szCs w:val="28"/>
          <w:u w:val="single"/>
        </w:rPr>
        <w:t xml:space="preserve"> 28 </w:t>
      </w:r>
      <w:r>
        <w:rPr>
          <w:rFonts w:hint="eastAsia" w:ascii="宋体" w:hAnsi="宋体" w:eastAsia="宋体" w:cs="宋体"/>
          <w:sz w:val="28"/>
          <w:szCs w:val="28"/>
        </w:rPr>
        <w:t xml:space="preserve">天内完成款项的支付。</w:t>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537" w:name="_Toc351203650"/>
      <w:r>
        <w:rPr>
          <w:rFonts w:hint="eastAsia" w:ascii="宋体" w:hAnsi="宋体" w:eastAsia="宋体" w:cs="宋体"/>
          <w:b w:val="0"/>
          <w:bCs/>
          <w:sz w:val="28"/>
          <w:szCs w:val="28"/>
          <w:lang w:val="en-US" w:eastAsia="zh-CN" w:bidi="ar-SA"/>
        </w:rPr>
        <w:t xml:space="preserve">第18条 保险</w:t>
      </w:r>
      <w:bookmarkEnd w:id="537"/>
      <w:r/>
      <w:bookmarkEnd w:id="535"/>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18.1 工程保险</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关于工程保险的特别约定：</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18.3 其他保险</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关于其他保险的约定：</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承包人是否应为其施工设备等办理财产保险：</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18.7 通知义务</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关于变更保险合同时的通知义务的约定：</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
    </w:p>
    <w:p>
      <w:pPr>
        <w:ind w:left="0" w:firstLine="560"/>
        <w:jc w:val="both"/>
        <w:keepLines/>
        <w:keepNext/>
        <w:pageBreakBefore w:val="0"/>
        <w:spacing w:line="420" w:lineRule="exact"/>
        <w:widowControl w:val="off"/>
        <w:rPr>
          <w:rFonts w:hint="eastAsia" w:ascii="宋体" w:hAnsi="宋体" w:eastAsia="宋体" w:cs="宋体"/>
          <w:b w:val="0"/>
          <w:bCs/>
          <w:sz w:val="28"/>
          <w:szCs w:val="28"/>
          <w:lang w:val="en-US" w:eastAsia="zh-CN" w:bidi="ar-SA"/>
        </w:rPr>
        <w:outlineLvl w:val="3"/>
      </w:pPr>
      <w:r/>
      <w:bookmarkStart w:id="538" w:name="_Toc351203651"/>
      <w:r>
        <w:rPr>
          <w:rFonts w:hint="eastAsia" w:ascii="宋体" w:hAnsi="宋体" w:eastAsia="宋体" w:cs="宋体"/>
          <w:b w:val="0"/>
          <w:bCs/>
          <w:sz w:val="28"/>
          <w:szCs w:val="28"/>
          <w:lang w:val="en-US" w:eastAsia="zh-CN" w:bidi="ar-SA"/>
        </w:rPr>
        <w:t xml:space="preserve">第20条 争议解决</w:t>
      </w:r>
      <w:bookmarkEnd w:id="538"/>
      <w:r/>
      <w:bookmarkEnd w:id="523"/>
      <w:r/>
      <w:bookmarkEnd w:id="524"/>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20.3 争</w:t>
      </w:r>
      <w:bookmarkEnd w:id="525"/>
      <w:r>
        <w:rPr>
          <w:rFonts w:hint="eastAsia" w:ascii="宋体" w:hAnsi="宋体" w:eastAsia="宋体" w:cs="宋体"/>
          <w:sz w:val="28"/>
          <w:szCs w:val="28"/>
        </w:rPr>
        <w:t xml:space="preserve">议评审</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合同当事人是否同意将工程争议提交争议评审小组决定：</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  </w:t>
      </w:r>
      <w:r/>
    </w:p>
    <w:p>
      <w:pPr>
        <w:ind w:left="0" w:firstLine="560"/>
        <w:jc w:val="left"/>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20.3.1 争议评审小组的确定</w:t>
      </w:r>
      <w:r/>
    </w:p>
    <w:p>
      <w:pPr>
        <w:ind w:left="0" w:firstLine="560"/>
        <w:jc w:val="left"/>
        <w:pageBreakBefore w:val="0"/>
        <w:spacing w:line="420" w:lineRule="exact"/>
        <w:rPr>
          <w:rFonts w:hint="eastAsia" w:ascii="宋体" w:hAnsi="宋体" w:eastAsia="宋体" w:cs="宋体"/>
          <w:sz w:val="28"/>
          <w:szCs w:val="28"/>
          <w:u w:val="single"/>
        </w:rPr>
      </w:pPr>
      <w:r>
        <w:rPr>
          <w:rFonts w:hint="eastAsia" w:ascii="宋体" w:hAnsi="宋体" w:eastAsia="宋体" w:cs="宋体"/>
          <w:sz w:val="28"/>
          <w:szCs w:val="28"/>
        </w:rPr>
        <w:t xml:space="preserve">争议评审小组成员的确定：</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选定争议评审员的期限：</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争议评审小组成员的报酬承担方式：</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其他事项的约定：</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w:t>
      </w:r>
      <w:r/>
    </w:p>
    <w:p>
      <w:pPr>
        <w:ind w:left="0" w:firstLine="560"/>
        <w:jc w:val="left"/>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20.3.2 争议评审小组的决定</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合同当事人关于本项的约定：</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0" w:firstLine="560"/>
        <w:pageBreakBefore w:val="0"/>
        <w:spacing w:line="420" w:lineRule="exact"/>
        <w:rPr>
          <w:rFonts w:hint="eastAsia" w:ascii="宋体" w:hAnsi="宋体" w:eastAsia="宋体" w:cs="宋体"/>
          <w:sz w:val="28"/>
          <w:szCs w:val="28"/>
        </w:rPr>
        <w:outlineLvl w:val="0"/>
      </w:pPr>
      <w:r>
        <w:rPr>
          <w:rFonts w:hint="eastAsia" w:ascii="宋体" w:hAnsi="宋体" w:eastAsia="宋体" w:cs="宋体"/>
          <w:sz w:val="28"/>
          <w:szCs w:val="28"/>
        </w:rPr>
        <w:t xml:space="preserve">20.4仲裁或诉讼</w:t>
      </w:r>
      <w:bookmarkEnd w:id="526"/>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因合同及合同有关事项发生的争议，按下列第</w:t>
      </w:r>
      <w:r>
        <w:rPr>
          <w:rFonts w:hint="eastAsia" w:ascii="宋体" w:hAnsi="宋体" w:eastAsia="宋体" w:cs="宋体"/>
          <w:sz w:val="28"/>
          <w:szCs w:val="28"/>
          <w:u w:val="single"/>
        </w:rPr>
        <w:t xml:space="preserve">  2   </w:t>
      </w:r>
      <w:r>
        <w:rPr>
          <w:rFonts w:hint="eastAsia" w:ascii="宋体" w:hAnsi="宋体" w:eastAsia="宋体" w:cs="宋体"/>
          <w:sz w:val="28"/>
          <w:szCs w:val="28"/>
        </w:rPr>
        <w:t xml:space="preserve">种方式解决：</w:t>
      </w:r>
      <w:r/>
    </w:p>
    <w:p>
      <w:p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（1）向</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仲裁委员会申请仲裁；</w:t>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（2）向</w:t>
      </w:r>
      <w:r>
        <w:rPr>
          <w:rFonts w:hint="eastAsia" w:ascii="宋体" w:hAnsi="宋体" w:eastAsia="宋体" w:cs="宋体"/>
          <w:sz w:val="28"/>
          <w:szCs w:val="28"/>
          <w:u w:val="single"/>
        </w:rPr>
        <w:t xml:space="preserve">     工程所在地 </w:t>
      </w:r>
      <w:r>
        <w:rPr>
          <w:rFonts w:hint="eastAsia" w:ascii="宋体" w:hAnsi="宋体" w:eastAsia="宋体" w:cs="宋体"/>
          <w:sz w:val="28"/>
          <w:szCs w:val="28"/>
        </w:rPr>
        <w:t xml:space="preserve">人民法院起诉。</w:t>
      </w:r>
      <w:bookmarkEnd w:id="527"/>
      <w:r/>
      <w:bookmarkEnd w:id="528"/>
      <w:r/>
      <w:bookmarkEnd w:id="529"/>
      <w:r/>
      <w:bookmarkEnd w:id="530"/>
      <w:r/>
      <w:bookmarkEnd w:id="531"/>
      <w:r/>
      <w:bookmarkEnd w:id="532"/>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r>
      <w:r/>
    </w:p>
    <w:p>
      <w:pPr>
        <w:ind w:left="0" w:firstLine="56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r>
      <w:r/>
    </w:p>
    <w:p>
      <w:pPr>
        <w:numPr>
          <w:ilvl w:val="0"/>
          <w:numId w:val="5"/>
        </w:numPr>
        <w:ind w:left="0" w:firstLine="560"/>
        <w:jc w:val="left"/>
        <w:pageBreakBefore w:val="0"/>
        <w:spacing w:line="420" w:lineRule="exact"/>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 xml:space="preserve">材料备选品牌库：</w:t>
      </w:r>
      <w:r/>
    </w:p>
    <w:p>
      <w:pPr>
        <w:numPr>
          <w:ilvl w:val="0"/>
          <w:numId w:val="0"/>
        </w:numPr>
        <w:ind w:left="0" w:firstLine="560"/>
        <w:jc w:val="left"/>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为保证建筑工程的质量</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下列材料及设备需从备选品牌中选择：</w:t>
      </w:r>
      <w:r/>
    </w:p>
    <w:p>
      <w:pPr>
        <w:numPr>
          <w:ilvl w:val="0"/>
          <w:numId w:val="0"/>
        </w:numPr>
        <w:ind w:left="0" w:firstLine="560"/>
        <w:jc w:val="left"/>
        <w:pageBreakBefore w:val="0"/>
        <w:spacing w:line="4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313"/>
        <w:tblW w:w="88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44"/>
        <w:gridCol w:w="1797"/>
        <w:gridCol w:w="6538"/>
      </w:tblGrid>
      <w:tr>
        <w:trPr>
          <w:jc w:val="center"/>
          <w:trHeight w:val="170"/>
        </w:trPr>
        <w:tc>
          <w:tcPr>
            <w:tcW w:w="544" w:type="dxa"/>
            <w:vAlign w:val="center"/>
            <w:textDirection w:val="lrTb"/>
            <w:noWrap w:val="false"/>
          </w:tcPr>
          <w:p>
            <w:pPr>
              <w:ind w:left="154"/>
              <w:jc w:val="left"/>
              <w:keepLines w:val="0"/>
              <w:keepNext w:val="0"/>
              <w:pageBreakBefore w:val="0"/>
              <w:spacing w:before="194" w:line="300" w:lineRule="exact"/>
              <w:widowControl/>
              <w:rPr>
                <w:rFonts w:hint="eastAsia" w:ascii="宋体" w:hAnsi="宋体" w:eastAsia="宋体" w:cs="宋体"/>
                <w:color w:val="000000"/>
                <w:sz w:val="22"/>
                <w:szCs w:val="22"/>
                <w:lang w:eastAsia="en-US"/>
              </w:rPr>
            </w:pPr>
            <w:r>
              <w:rPr>
                <w:rFonts w:hint="eastAsia" w:ascii="宋体" w:hAnsi="宋体" w:eastAsia="宋体" w:cs="宋体"/>
                <w:b/>
                <w:bCs/>
                <w:color w:val="000000"/>
                <w:spacing w:val="-6"/>
                <w:sz w:val="22"/>
                <w:szCs w:val="22"/>
                <w:lang w:eastAsia="en-US"/>
              </w:rPr>
              <w:t xml:space="preserve">序号</w:t>
            </w:r>
            <w:r/>
          </w:p>
        </w:tc>
        <w:tc>
          <w:tcPr>
            <w:tcW w:w="1797" w:type="dxa"/>
            <w:vAlign w:val="center"/>
            <w:textDirection w:val="lrTb"/>
            <w:noWrap w:val="false"/>
          </w:tcPr>
          <w:p>
            <w:pPr>
              <w:ind w:left="449"/>
              <w:jc w:val="left"/>
              <w:keepLines w:val="0"/>
              <w:keepNext w:val="0"/>
              <w:pageBreakBefore w:val="0"/>
              <w:spacing w:before="195" w:line="300" w:lineRule="exact"/>
              <w:widowControl/>
              <w:rPr>
                <w:rFonts w:hint="eastAsia" w:ascii="宋体" w:hAnsi="宋体" w:eastAsia="宋体" w:cs="宋体"/>
                <w:color w:val="000000"/>
                <w:sz w:val="22"/>
                <w:szCs w:val="22"/>
                <w:lang w:eastAsia="en-US"/>
              </w:rPr>
            </w:pPr>
            <w:r>
              <w:rPr>
                <w:rFonts w:hint="eastAsia" w:ascii="宋体" w:hAnsi="宋体" w:eastAsia="宋体" w:cs="宋体"/>
                <w:b/>
                <w:bCs/>
                <w:color w:val="000000"/>
                <w:spacing w:val="-4"/>
                <w:sz w:val="22"/>
                <w:szCs w:val="22"/>
                <w:lang w:eastAsia="en-US"/>
              </w:rPr>
              <w:t xml:space="preserve">材料名称</w:t>
            </w:r>
            <w:r/>
          </w:p>
        </w:tc>
        <w:tc>
          <w:tcPr>
            <w:tcW w:w="6538" w:type="dxa"/>
            <w:vAlign w:val="center"/>
            <w:textDirection w:val="lrTb"/>
            <w:noWrap w:val="false"/>
          </w:tcPr>
          <w:p>
            <w:pPr>
              <w:ind w:left="2883"/>
              <w:jc w:val="left"/>
              <w:keepLines w:val="0"/>
              <w:keepNext w:val="0"/>
              <w:pageBreakBefore w:val="0"/>
              <w:spacing w:before="195" w:line="300" w:lineRule="exact"/>
              <w:widowControl/>
              <w:rPr>
                <w:rFonts w:hint="eastAsia" w:ascii="宋体" w:hAnsi="宋体" w:eastAsia="宋体" w:cs="宋体"/>
                <w:color w:val="000000"/>
                <w:sz w:val="22"/>
                <w:szCs w:val="22"/>
                <w:lang w:eastAsia="en-US"/>
              </w:rPr>
            </w:pPr>
            <w:r>
              <w:rPr>
                <w:rFonts w:hint="eastAsia" w:ascii="宋体" w:hAnsi="宋体" w:eastAsia="宋体" w:cs="宋体"/>
                <w:b/>
                <w:bCs/>
                <w:color w:val="000000"/>
                <w:spacing w:val="-5"/>
                <w:sz w:val="22"/>
                <w:szCs w:val="22"/>
                <w:lang w:eastAsia="en-US"/>
              </w:rPr>
              <w:t xml:space="preserve">建议品牌</w:t>
            </w:r>
            <w:r/>
          </w:p>
        </w:tc>
      </w:tr>
      <w:tr>
        <w:trPr>
          <w:jc w:val="center"/>
          <w:trHeight w:val="170"/>
        </w:trPr>
        <w:tc>
          <w:tcPr>
            <w:tcW w:w="544" w:type="dxa"/>
            <w:vAlign w:val="center"/>
            <w:textDirection w:val="lrTb"/>
            <w:noWrap w:val="false"/>
          </w:tcPr>
          <w:p>
            <w:pPr>
              <w:pStyle w:val="1312"/>
              <w:ind w:left="122"/>
              <w:keepLines w:val="0"/>
              <w:keepNext w:val="0"/>
              <w:pageBreakBefore w:val="0"/>
              <w:spacing w:before="130"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1797" w:type="dxa"/>
            <w:vAlign w:val="center"/>
            <w:textDirection w:val="lrTb"/>
            <w:noWrap w:val="false"/>
          </w:tcPr>
          <w:p>
            <w:pPr>
              <w:pStyle w:val="1312"/>
              <w:ind w:left="154"/>
              <w:keepLines w:val="0"/>
              <w:keepNext w:val="0"/>
              <w:pageBreakBefore w:val="0"/>
              <w:spacing w:before="81" w:line="300" w:lineRule="exact"/>
              <w:widowControl/>
              <w:rPr>
                <w:rFonts w:hint="eastAsia" w:ascii="宋体" w:hAnsi="宋体" w:eastAsia="宋体" w:cs="宋体"/>
                <w:sz w:val="21"/>
                <w:szCs w:val="21"/>
              </w:rPr>
            </w:pPr>
            <w:r>
              <w:rPr>
                <w:rFonts w:hint="eastAsia" w:ascii="宋体" w:hAnsi="宋体" w:eastAsia="宋体" w:cs="宋体"/>
                <w:spacing w:val="-13"/>
                <w:sz w:val="21"/>
                <w:szCs w:val="21"/>
              </w:rPr>
              <w:t xml:space="preserve">电线电缆</w:t>
            </w:r>
            <w:r/>
          </w:p>
        </w:tc>
        <w:tc>
          <w:tcPr>
            <w:tcW w:w="6538" w:type="dxa"/>
            <w:vAlign w:val="center"/>
            <w:textDirection w:val="lrTb"/>
            <w:noWrap w:val="false"/>
          </w:tcPr>
          <w:p>
            <w:pPr>
              <w:pStyle w:val="1312"/>
              <w:ind w:left="130"/>
              <w:keepLines w:val="0"/>
              <w:keepNext w:val="0"/>
              <w:pageBreakBefore w:val="0"/>
              <w:spacing w:before="81" w:line="300" w:lineRule="exact"/>
              <w:widowControl/>
              <w:rPr>
                <w:rFonts w:hint="eastAsia" w:ascii="宋体" w:hAnsi="宋体" w:eastAsia="宋体" w:cs="宋体"/>
                <w:sz w:val="21"/>
                <w:szCs w:val="21"/>
              </w:rPr>
            </w:pPr>
            <w:r>
              <w:rPr>
                <w:rFonts w:hint="eastAsia" w:ascii="宋体" w:hAnsi="宋体" w:eastAsia="宋体" w:cs="宋体"/>
                <w:spacing w:val="-2"/>
                <w:sz w:val="21"/>
                <w:szCs w:val="21"/>
              </w:rPr>
              <w:t xml:space="preserve">江南、远东、宝胜、上上、阳谷、汉兴</w:t>
            </w:r>
            <w:r/>
          </w:p>
        </w:tc>
      </w:tr>
      <w:tr>
        <w:trPr>
          <w:jc w:val="center"/>
          <w:trHeight w:val="170"/>
        </w:trPr>
        <w:tc>
          <w:tcPr>
            <w:tcW w:w="544" w:type="dxa"/>
            <w:vAlign w:val="center"/>
            <w:textDirection w:val="lrTb"/>
            <w:noWrap w:val="false"/>
          </w:tcPr>
          <w:p>
            <w:pPr>
              <w:pStyle w:val="1312"/>
              <w:ind w:left="124"/>
              <w:keepLines w:val="0"/>
              <w:keepNext w:val="0"/>
              <w:pageBreakBefore w:val="0"/>
              <w:spacing w:before="273"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1797" w:type="dxa"/>
            <w:vAlign w:val="center"/>
            <w:textDirection w:val="lrTb"/>
            <w:noWrap w:val="false"/>
          </w:tcPr>
          <w:p>
            <w:pPr>
              <w:pStyle w:val="1312"/>
              <w:ind w:left="123"/>
              <w:keepLines w:val="0"/>
              <w:keepNext w:val="0"/>
              <w:pageBreakBefore w:val="0"/>
              <w:spacing w:before="225" w:line="300" w:lineRule="exact"/>
              <w:widowControl/>
              <w:rPr>
                <w:rFonts w:hint="eastAsia" w:ascii="宋体" w:hAnsi="宋体" w:eastAsia="宋体" w:cs="宋体"/>
                <w:sz w:val="21"/>
                <w:szCs w:val="21"/>
              </w:rPr>
            </w:pPr>
            <w:r>
              <w:rPr>
                <w:rFonts w:hint="eastAsia" w:ascii="宋体" w:hAnsi="宋体" w:eastAsia="宋体" w:cs="宋体"/>
                <w:spacing w:val="-5"/>
                <w:sz w:val="21"/>
                <w:szCs w:val="21"/>
              </w:rPr>
              <w:t xml:space="preserve">开关插座</w:t>
            </w:r>
            <w:r/>
          </w:p>
        </w:tc>
        <w:tc>
          <w:tcPr>
            <w:tcW w:w="6538" w:type="dxa"/>
            <w:vAlign w:val="center"/>
            <w:textDirection w:val="lrTb"/>
            <w:noWrap w:val="false"/>
          </w:tcPr>
          <w:p>
            <w:pPr>
              <w:pStyle w:val="1312"/>
              <w:ind w:left="126" w:right="102" w:hanging="15"/>
              <w:keepLines w:val="0"/>
              <w:keepNext w:val="0"/>
              <w:pageBreakBefore w:val="0"/>
              <w:spacing w:before="43"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TCL</w:t>
            </w:r>
            <w:r>
              <w:rPr>
                <w:rFonts w:hint="eastAsia" w:ascii="宋体" w:hAnsi="宋体" w:eastAsia="宋体" w:cs="宋体"/>
                <w:spacing w:val="5"/>
                <w:sz w:val="21"/>
                <w:szCs w:val="21"/>
              </w:rPr>
              <w:t xml:space="preserve">、西门子、雷士、西蒙、正泰、长城、公牛、欧 </w:t>
            </w:r>
            <w:r>
              <w:rPr>
                <w:rFonts w:hint="eastAsia" w:ascii="宋体" w:hAnsi="宋体" w:eastAsia="宋体" w:cs="宋体"/>
                <w:sz w:val="21"/>
                <w:szCs w:val="21"/>
              </w:rPr>
              <w:t xml:space="preserve">普</w:t>
            </w:r>
            <w:r/>
          </w:p>
        </w:tc>
      </w:tr>
      <w:tr>
        <w:trPr>
          <w:jc w:val="center"/>
          <w:trHeight w:val="170"/>
        </w:trPr>
        <w:tc>
          <w:tcPr>
            <w:tcW w:w="544" w:type="dxa"/>
            <w:vAlign w:val="center"/>
            <w:textDirection w:val="lrTb"/>
            <w:noWrap w:val="false"/>
          </w:tcPr>
          <w:p>
            <w:pPr>
              <w:pStyle w:val="1312"/>
              <w:ind w:left="117"/>
              <w:keepLines w:val="0"/>
              <w:keepNext w:val="0"/>
              <w:pageBreakBefore w:val="0"/>
              <w:spacing w:before="273"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W w:w="1797" w:type="dxa"/>
            <w:vAlign w:val="center"/>
            <w:textDirection w:val="lrTb"/>
            <w:noWrap w:val="false"/>
          </w:tcPr>
          <w:p>
            <w:pPr>
              <w:pStyle w:val="1312"/>
              <w:ind w:left="122"/>
              <w:keepLines w:val="0"/>
              <w:keepNext w:val="0"/>
              <w:pageBreakBefore w:val="0"/>
              <w:spacing w:before="224" w:line="300" w:lineRule="exact"/>
              <w:widowControl/>
              <w:rPr>
                <w:rFonts w:hint="eastAsia" w:ascii="宋体" w:hAnsi="宋体" w:eastAsia="宋体" w:cs="宋体"/>
                <w:sz w:val="21"/>
                <w:szCs w:val="21"/>
              </w:rPr>
            </w:pPr>
            <w:r>
              <w:rPr>
                <w:rFonts w:hint="eastAsia" w:ascii="宋体" w:hAnsi="宋体" w:eastAsia="宋体" w:cs="宋体"/>
                <w:spacing w:val="-8"/>
                <w:sz w:val="21"/>
                <w:szCs w:val="21"/>
              </w:rPr>
              <w:t xml:space="preserve">灯具</w:t>
            </w:r>
            <w:r/>
          </w:p>
        </w:tc>
        <w:tc>
          <w:tcPr>
            <w:tcW w:w="6538" w:type="dxa"/>
            <w:vAlign w:val="center"/>
            <w:textDirection w:val="lrTb"/>
            <w:noWrap w:val="false"/>
          </w:tcPr>
          <w:p>
            <w:pPr>
              <w:pStyle w:val="1312"/>
              <w:ind w:left="130" w:right="102" w:firstLine="1"/>
              <w:keepLines w:val="0"/>
              <w:keepNext w:val="0"/>
              <w:pageBreakBefore w:val="0"/>
              <w:spacing w:before="45" w:line="300" w:lineRule="exact"/>
              <w:widowControl/>
              <w:rPr>
                <w:rFonts w:hint="eastAsia" w:ascii="宋体" w:hAnsi="宋体" w:eastAsia="宋体" w:cs="宋体"/>
                <w:sz w:val="21"/>
                <w:szCs w:val="21"/>
              </w:rPr>
            </w:pPr>
            <w:r>
              <w:rPr>
                <w:rFonts w:hint="eastAsia" w:ascii="宋体" w:hAnsi="宋体" w:eastAsia="宋体" w:cs="宋体"/>
                <w:spacing w:val="-4"/>
                <w:sz w:val="21"/>
                <w:szCs w:val="21"/>
              </w:rPr>
              <w:t xml:space="preserve">飞利浦、欧司朗、雷士、TCL、欧普、佛山照明</w:t>
            </w:r>
            <w:r>
              <w:rPr>
                <w:rFonts w:hint="eastAsia" w:ascii="宋体" w:hAnsi="宋体" w:eastAsia="宋体" w:cs="宋体"/>
                <w:spacing w:val="46"/>
                <w:sz w:val="21"/>
                <w:szCs w:val="21"/>
              </w:rPr>
              <w:t xml:space="preserve"> </w:t>
            </w:r>
            <w:r>
              <w:rPr>
                <w:rFonts w:hint="eastAsia" w:ascii="宋体" w:hAnsi="宋体" w:eastAsia="宋体" w:cs="宋体"/>
                <w:spacing w:val="-4"/>
                <w:sz w:val="21"/>
                <w:szCs w:val="21"/>
              </w:rPr>
              <w:t xml:space="preserve">、雷</w:t>
            </w:r>
            <w:r>
              <w:rPr>
                <w:rFonts w:hint="eastAsia" w:ascii="宋体" w:hAnsi="宋体" w:eastAsia="宋体" w:cs="宋体"/>
                <w:sz w:val="21"/>
                <w:szCs w:val="21"/>
              </w:rPr>
              <w:t xml:space="preserve"> </w:t>
            </w:r>
            <w:r>
              <w:rPr>
                <w:rFonts w:hint="eastAsia" w:ascii="宋体" w:hAnsi="宋体" w:eastAsia="宋体" w:cs="宋体"/>
                <w:spacing w:val="-8"/>
                <w:sz w:val="21"/>
                <w:szCs w:val="21"/>
              </w:rPr>
              <w:t xml:space="preserve">士照明</w:t>
            </w:r>
            <w:r/>
          </w:p>
        </w:tc>
      </w:tr>
      <w:tr>
        <w:trPr>
          <w:jc w:val="center"/>
          <w:trHeight w:val="170"/>
        </w:trPr>
        <w:tc>
          <w:tcPr>
            <w:tcW w:w="544" w:type="dxa"/>
            <w:vAlign w:val="center"/>
            <w:textDirection w:val="lrTb"/>
            <w:noWrap w:val="false"/>
          </w:tcPr>
          <w:p>
            <w:pPr>
              <w:pStyle w:val="1312"/>
              <w:ind w:left="124"/>
              <w:keepLines w:val="0"/>
              <w:keepNext w:val="0"/>
              <w:pageBreakBefore w:val="0"/>
              <w:spacing w:before="138"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c>
          <w:tcPr>
            <w:tcW w:w="1797" w:type="dxa"/>
            <w:vAlign w:val="center"/>
            <w:textDirection w:val="lrTb"/>
            <w:noWrap w:val="false"/>
          </w:tcPr>
          <w:p>
            <w:pPr>
              <w:pStyle w:val="1312"/>
              <w:ind w:left="124"/>
              <w:keepLines w:val="0"/>
              <w:keepNext w:val="0"/>
              <w:pageBreakBefore w:val="0"/>
              <w:spacing w:before="87" w:line="300" w:lineRule="exact"/>
              <w:widowControl/>
              <w:rPr>
                <w:rFonts w:hint="eastAsia" w:ascii="宋体" w:hAnsi="宋体" w:eastAsia="宋体" w:cs="宋体"/>
                <w:sz w:val="21"/>
                <w:szCs w:val="21"/>
              </w:rPr>
            </w:pPr>
            <w:r>
              <w:rPr>
                <w:rFonts w:hint="eastAsia" w:ascii="宋体" w:hAnsi="宋体" w:eastAsia="宋体" w:cs="宋体"/>
                <w:spacing w:val="-9"/>
                <w:sz w:val="21"/>
                <w:szCs w:val="21"/>
              </w:rPr>
              <w:t xml:space="preserve">玻璃</w:t>
            </w:r>
            <w:r/>
          </w:p>
        </w:tc>
        <w:tc>
          <w:tcPr>
            <w:tcW w:w="6538" w:type="dxa"/>
            <w:vAlign w:val="center"/>
            <w:textDirection w:val="lrTb"/>
            <w:noWrap w:val="false"/>
          </w:tcPr>
          <w:p>
            <w:pPr>
              <w:pStyle w:val="1312"/>
              <w:ind w:left="149"/>
              <w:keepLines w:val="0"/>
              <w:keepNext w:val="0"/>
              <w:pageBreakBefore w:val="0"/>
              <w:spacing w:before="87" w:line="300" w:lineRule="exact"/>
              <w:widowControl/>
              <w:rPr>
                <w:rFonts w:hint="eastAsia" w:ascii="宋体" w:hAnsi="宋体" w:eastAsia="宋体" w:cs="宋体"/>
                <w:sz w:val="21"/>
                <w:szCs w:val="21"/>
              </w:rPr>
            </w:pPr>
            <w:r>
              <w:rPr>
                <w:rFonts w:hint="eastAsia" w:ascii="宋体" w:hAnsi="宋体" w:eastAsia="宋体" w:cs="宋体"/>
                <w:spacing w:val="-3"/>
                <w:sz w:val="21"/>
                <w:szCs w:val="21"/>
              </w:rPr>
              <w:t xml:space="preserve">台玻、南玻、耀华、信义、洛玻、中玻</w:t>
            </w:r>
            <w:r/>
          </w:p>
        </w:tc>
      </w:tr>
      <w:tr>
        <w:trPr>
          <w:jc w:val="center"/>
          <w:trHeight w:val="170"/>
        </w:trPr>
        <w:tc>
          <w:tcPr>
            <w:tcW w:w="544" w:type="dxa"/>
            <w:vAlign w:val="center"/>
            <w:textDirection w:val="lrTb"/>
            <w:noWrap w:val="false"/>
          </w:tcPr>
          <w:p>
            <w:pPr>
              <w:pStyle w:val="1312"/>
              <w:ind w:left="120"/>
              <w:keepLines w:val="0"/>
              <w:keepNext w:val="0"/>
              <w:pageBreakBefore w:val="0"/>
              <w:spacing w:before="273"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tcW w:w="1797" w:type="dxa"/>
            <w:vAlign w:val="center"/>
            <w:textDirection w:val="lrTb"/>
            <w:noWrap w:val="false"/>
          </w:tcPr>
          <w:p>
            <w:pPr>
              <w:pStyle w:val="1312"/>
              <w:ind w:left="125" w:right="103" w:firstLine="1"/>
              <w:keepLines w:val="0"/>
              <w:keepNext w:val="0"/>
              <w:pageBreakBefore w:val="0"/>
              <w:spacing w:before="43" w:line="300" w:lineRule="exact"/>
              <w:widowControl/>
              <w:rPr>
                <w:rFonts w:hint="eastAsia" w:ascii="宋体" w:hAnsi="宋体" w:eastAsia="宋体" w:cs="宋体"/>
                <w:sz w:val="21"/>
                <w:szCs w:val="21"/>
              </w:rPr>
            </w:pPr>
            <w:r>
              <w:rPr>
                <w:rFonts w:hint="eastAsia" w:ascii="宋体" w:hAnsi="宋体" w:eastAsia="宋体" w:cs="宋体"/>
                <w:spacing w:val="-25"/>
                <w:sz w:val="21"/>
                <w:szCs w:val="21"/>
              </w:rPr>
              <w:t xml:space="preserve">乳胶漆、真石</w:t>
            </w:r>
            <w:r>
              <w:rPr>
                <w:rFonts w:hint="eastAsia" w:ascii="宋体" w:hAnsi="宋体" w:eastAsia="宋体" w:cs="宋体"/>
                <w:sz w:val="21"/>
                <w:szCs w:val="21"/>
              </w:rPr>
              <w:t xml:space="preserve">漆</w:t>
            </w:r>
            <w:r/>
          </w:p>
        </w:tc>
        <w:tc>
          <w:tcPr>
            <w:tcW w:w="6538" w:type="dxa"/>
            <w:vAlign w:val="center"/>
            <w:textDirection w:val="lrTb"/>
            <w:noWrap w:val="false"/>
          </w:tcPr>
          <w:p>
            <w:pPr>
              <w:pStyle w:val="1312"/>
              <w:ind w:left="139"/>
              <w:keepLines w:val="0"/>
              <w:keepNext w:val="0"/>
              <w:pageBreakBefore w:val="0"/>
              <w:spacing w:before="224" w:line="300" w:lineRule="exact"/>
              <w:widowControl/>
              <w:rPr>
                <w:rFonts w:hint="eastAsia" w:ascii="宋体" w:hAnsi="宋体" w:eastAsia="宋体" w:cs="宋体"/>
                <w:sz w:val="21"/>
                <w:szCs w:val="21"/>
              </w:rPr>
            </w:pPr>
            <w:r>
              <w:rPr>
                <w:rFonts w:hint="eastAsia" w:ascii="宋体" w:hAnsi="宋体" w:eastAsia="宋体" w:cs="宋体"/>
                <w:spacing w:val="-2"/>
                <w:sz w:val="21"/>
                <w:szCs w:val="21"/>
              </w:rPr>
              <w:t xml:space="preserve">多乐士、立邦、华润、三棵树、紫荆花、</w:t>
            </w:r>
            <w:r/>
          </w:p>
        </w:tc>
      </w:tr>
      <w:tr>
        <w:trPr>
          <w:jc w:val="center"/>
          <w:trHeight w:val="170"/>
        </w:trPr>
        <w:tc>
          <w:tcPr>
            <w:tcW w:w="544" w:type="dxa"/>
            <w:vAlign w:val="center"/>
            <w:textDirection w:val="lrTb"/>
            <w:noWrap w:val="false"/>
          </w:tcPr>
          <w:p>
            <w:pPr>
              <w:pStyle w:val="1312"/>
              <w:ind w:left="125"/>
              <w:keepLines w:val="0"/>
              <w:keepNext w:val="0"/>
              <w:pageBreakBefore w:val="0"/>
              <w:spacing w:before="184"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tcW w:w="1797" w:type="dxa"/>
            <w:vAlign w:val="center"/>
            <w:textDirection w:val="lrTb"/>
            <w:noWrap w:val="false"/>
          </w:tcPr>
          <w:p>
            <w:pPr>
              <w:pStyle w:val="1312"/>
              <w:ind w:left="150"/>
              <w:keepLines w:val="0"/>
              <w:keepNext w:val="0"/>
              <w:pageBreakBefore w:val="0"/>
              <w:spacing w:before="133" w:line="300" w:lineRule="exact"/>
              <w:widowControl/>
              <w:rPr>
                <w:rFonts w:hint="eastAsia" w:ascii="宋体" w:hAnsi="宋体" w:eastAsia="宋体" w:cs="宋体"/>
                <w:sz w:val="21"/>
                <w:szCs w:val="21"/>
              </w:rPr>
            </w:pPr>
            <w:r>
              <w:rPr>
                <w:rFonts w:hint="eastAsia" w:ascii="宋体" w:hAnsi="宋体" w:eastAsia="宋体" w:cs="宋体"/>
                <w:spacing w:val="-9"/>
                <w:sz w:val="21"/>
                <w:szCs w:val="21"/>
              </w:rPr>
              <w:t xml:space="preserve">门锁及五金</w:t>
            </w:r>
            <w:r/>
          </w:p>
        </w:tc>
        <w:tc>
          <w:tcPr>
            <w:tcW w:w="6538" w:type="dxa"/>
            <w:vAlign w:val="center"/>
            <w:textDirection w:val="lrTb"/>
            <w:noWrap w:val="false"/>
          </w:tcPr>
          <w:p>
            <w:pPr>
              <w:pStyle w:val="1312"/>
              <w:ind w:left="128"/>
              <w:keepLines w:val="0"/>
              <w:keepNext w:val="0"/>
              <w:pageBreakBefore w:val="0"/>
              <w:spacing w:before="132" w:line="300" w:lineRule="exact"/>
              <w:widowControl/>
              <w:rPr>
                <w:rFonts w:hint="eastAsia" w:ascii="宋体" w:hAnsi="宋体" w:eastAsia="宋体" w:cs="宋体"/>
                <w:sz w:val="21"/>
                <w:szCs w:val="21"/>
              </w:rPr>
            </w:pPr>
            <w:r>
              <w:rPr>
                <w:rFonts w:hint="eastAsia" w:ascii="宋体" w:hAnsi="宋体" w:eastAsia="宋体" w:cs="宋体"/>
                <w:spacing w:val="-2"/>
                <w:sz w:val="21"/>
                <w:szCs w:val="21"/>
              </w:rPr>
              <w:t xml:space="preserve">坚朗、雅洁、顶固、摩登、汇泰龙</w:t>
            </w:r>
            <w:r/>
          </w:p>
        </w:tc>
      </w:tr>
      <w:tr>
        <w:trPr>
          <w:jc w:val="center"/>
          <w:trHeight w:val="170"/>
        </w:trPr>
        <w:tc>
          <w:tcPr>
            <w:tcW w:w="544" w:type="dxa"/>
            <w:vAlign w:val="center"/>
            <w:textDirection w:val="lrTb"/>
            <w:noWrap w:val="false"/>
          </w:tcPr>
          <w:p>
            <w:pPr>
              <w:pStyle w:val="1312"/>
              <w:ind w:left="119"/>
              <w:keepLines w:val="0"/>
              <w:keepNext w:val="0"/>
              <w:pageBreakBefore w:val="0"/>
              <w:spacing w:before="240"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c>
          <w:tcPr>
            <w:tcW w:w="1797" w:type="dxa"/>
            <w:vAlign w:val="center"/>
            <w:textDirection w:val="lrTb"/>
            <w:noWrap w:val="false"/>
          </w:tcPr>
          <w:p>
            <w:pPr>
              <w:pStyle w:val="1312"/>
              <w:ind w:left="124"/>
              <w:keepLines w:val="0"/>
              <w:keepNext w:val="0"/>
              <w:pageBreakBefore w:val="0"/>
              <w:spacing w:before="193" w:line="300" w:lineRule="exact"/>
              <w:widowControl/>
              <w:rPr>
                <w:rFonts w:hint="eastAsia" w:ascii="宋体" w:hAnsi="宋体" w:eastAsia="宋体" w:cs="宋体"/>
                <w:sz w:val="21"/>
                <w:szCs w:val="21"/>
              </w:rPr>
            </w:pPr>
            <w:r>
              <w:rPr>
                <w:rFonts w:hint="eastAsia" w:ascii="宋体" w:hAnsi="宋体" w:eastAsia="宋体" w:cs="宋体"/>
                <w:spacing w:val="-4"/>
                <w:sz w:val="21"/>
                <w:szCs w:val="21"/>
              </w:rPr>
              <w:t xml:space="preserve">铝合金门窗</w:t>
            </w:r>
            <w:r/>
          </w:p>
        </w:tc>
        <w:tc>
          <w:tcPr>
            <w:tcW w:w="6538" w:type="dxa"/>
            <w:vAlign w:val="center"/>
            <w:textDirection w:val="lrTb"/>
            <w:noWrap w:val="false"/>
          </w:tcPr>
          <w:p>
            <w:pPr>
              <w:pStyle w:val="1312"/>
              <w:ind w:left="159"/>
              <w:keepLines w:val="0"/>
              <w:keepNext w:val="0"/>
              <w:pageBreakBefore w:val="0"/>
              <w:spacing w:before="192" w:line="300" w:lineRule="exact"/>
              <w:widowControl/>
              <w:rPr>
                <w:rFonts w:hint="eastAsia" w:ascii="宋体" w:hAnsi="宋体" w:eastAsia="宋体" w:cs="宋体"/>
                <w:sz w:val="21"/>
                <w:szCs w:val="21"/>
              </w:rPr>
            </w:pPr>
            <w:r>
              <w:rPr>
                <w:rFonts w:hint="eastAsia" w:ascii="宋体" w:hAnsi="宋体" w:eastAsia="宋体" w:cs="宋体"/>
                <w:spacing w:val="-3"/>
                <w:sz w:val="21"/>
                <w:szCs w:val="21"/>
              </w:rPr>
              <w:t xml:space="preserve">中铝、坚美、凤铝、浙江栋梁、南山、兴发、伟昌</w:t>
            </w:r>
            <w:r/>
          </w:p>
        </w:tc>
      </w:tr>
      <w:tr>
        <w:trPr>
          <w:jc w:val="center"/>
          <w:trHeight w:val="170"/>
        </w:trPr>
        <w:tc>
          <w:tcPr>
            <w:tcW w:w="544" w:type="dxa"/>
            <w:vAlign w:val="center"/>
            <w:textDirection w:val="lrTb"/>
            <w:noWrap w:val="false"/>
          </w:tcPr>
          <w:p>
            <w:pPr>
              <w:pStyle w:val="1312"/>
              <w:ind w:left="119"/>
              <w:keepLines w:val="0"/>
              <w:keepNext w:val="0"/>
              <w:pageBreakBefore w:val="0"/>
              <w:spacing w:before="168"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c>
          <w:tcPr>
            <w:tcW w:w="1797" w:type="dxa"/>
            <w:vAlign w:val="center"/>
            <w:textDirection w:val="lrTb"/>
            <w:noWrap w:val="false"/>
          </w:tcPr>
          <w:p>
            <w:pPr>
              <w:pStyle w:val="1312"/>
              <w:ind w:left="136"/>
              <w:keepLines w:val="0"/>
              <w:keepNext w:val="0"/>
              <w:pageBreakBefore w:val="0"/>
              <w:spacing w:before="119" w:line="300" w:lineRule="exact"/>
              <w:widowControl/>
              <w:rPr>
                <w:rFonts w:hint="eastAsia" w:ascii="宋体" w:hAnsi="宋体" w:eastAsia="宋体" w:cs="宋体"/>
                <w:sz w:val="21"/>
                <w:szCs w:val="21"/>
              </w:rPr>
            </w:pPr>
            <w:r>
              <w:rPr>
                <w:rFonts w:hint="eastAsia" w:ascii="宋体" w:hAnsi="宋体" w:eastAsia="宋体" w:cs="宋体"/>
                <w:spacing w:val="-8"/>
                <w:sz w:val="21"/>
                <w:szCs w:val="21"/>
              </w:rPr>
              <w:t xml:space="preserve">塑钢型材</w:t>
            </w:r>
            <w:r/>
          </w:p>
        </w:tc>
        <w:tc>
          <w:tcPr>
            <w:tcW w:w="6538" w:type="dxa"/>
            <w:vAlign w:val="center"/>
            <w:textDirection w:val="lrTb"/>
            <w:noWrap w:val="false"/>
          </w:tcPr>
          <w:p>
            <w:pPr>
              <w:pStyle w:val="1312"/>
              <w:ind w:left="125"/>
              <w:keepLines w:val="0"/>
              <w:keepNext w:val="0"/>
              <w:pageBreakBefore w:val="0"/>
              <w:spacing w:before="120" w:line="300" w:lineRule="exact"/>
              <w:widowControl/>
              <w:rPr>
                <w:rFonts w:hint="eastAsia" w:ascii="宋体" w:hAnsi="宋体" w:eastAsia="宋体" w:cs="宋体"/>
                <w:sz w:val="21"/>
                <w:szCs w:val="21"/>
              </w:rPr>
            </w:pPr>
            <w:r>
              <w:rPr>
                <w:rFonts w:hint="eastAsia" w:ascii="宋体" w:hAnsi="宋体" w:eastAsia="宋体" w:cs="宋体"/>
                <w:spacing w:val="-2"/>
                <w:sz w:val="21"/>
                <w:szCs w:val="21"/>
              </w:rPr>
              <w:t xml:space="preserve">海螺、实德、维卡、中财、北新</w:t>
            </w:r>
            <w:r/>
          </w:p>
        </w:tc>
      </w:tr>
      <w:tr>
        <w:trPr>
          <w:jc w:val="center"/>
          <w:trHeight w:val="170"/>
        </w:trPr>
        <w:tc>
          <w:tcPr>
            <w:tcW w:w="544" w:type="dxa"/>
            <w:vAlign w:val="center"/>
            <w:textDirection w:val="lrTb"/>
            <w:noWrap w:val="false"/>
          </w:tcPr>
          <w:p>
            <w:pPr>
              <w:pStyle w:val="1312"/>
              <w:ind w:left="139"/>
              <w:keepLines w:val="0"/>
              <w:keepNext w:val="0"/>
              <w:pageBreakBefore w:val="0"/>
              <w:spacing w:before="166"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p>
        </w:tc>
        <w:tc>
          <w:tcPr>
            <w:tcW w:w="1797" w:type="dxa"/>
            <w:vAlign w:val="center"/>
            <w:textDirection w:val="lrTb"/>
            <w:noWrap w:val="false"/>
          </w:tcPr>
          <w:p>
            <w:pPr>
              <w:pStyle w:val="1312"/>
              <w:ind w:left="154"/>
              <w:keepLines w:val="0"/>
              <w:keepNext w:val="0"/>
              <w:pageBreakBefore w:val="0"/>
              <w:spacing w:before="118" w:line="300" w:lineRule="exact"/>
              <w:widowControl/>
              <w:rPr>
                <w:rFonts w:hint="eastAsia" w:ascii="宋体" w:hAnsi="宋体" w:eastAsia="宋体" w:cs="宋体"/>
                <w:sz w:val="21"/>
                <w:szCs w:val="21"/>
              </w:rPr>
            </w:pPr>
            <w:r>
              <w:rPr>
                <w:rFonts w:hint="eastAsia" w:ascii="宋体" w:hAnsi="宋体" w:eastAsia="宋体" w:cs="宋体"/>
                <w:spacing w:val="-24"/>
                <w:sz w:val="21"/>
                <w:szCs w:val="21"/>
              </w:rPr>
              <w:t xml:space="preserve">电气</w:t>
            </w:r>
            <w:r/>
          </w:p>
        </w:tc>
        <w:tc>
          <w:tcPr>
            <w:tcW w:w="6538" w:type="dxa"/>
            <w:vAlign w:val="center"/>
            <w:textDirection w:val="lrTb"/>
            <w:noWrap w:val="false"/>
          </w:tcPr>
          <w:p>
            <w:pPr>
              <w:pStyle w:val="1312"/>
              <w:ind w:left="122"/>
              <w:keepLines w:val="0"/>
              <w:keepNext w:val="0"/>
              <w:pageBreakBefore w:val="0"/>
              <w:spacing w:before="118" w:line="300" w:lineRule="exact"/>
              <w:widowControl/>
              <w:rPr>
                <w:rFonts w:hint="eastAsia" w:ascii="宋体" w:hAnsi="宋体" w:eastAsia="宋体" w:cs="宋体"/>
                <w:sz w:val="21"/>
                <w:szCs w:val="21"/>
              </w:rPr>
            </w:pPr>
            <w:r>
              <w:rPr>
                <w:rFonts w:hint="eastAsia" w:ascii="宋体" w:hAnsi="宋体" w:eastAsia="宋体" w:cs="宋体"/>
                <w:spacing w:val="-1"/>
                <w:sz w:val="21"/>
                <w:szCs w:val="21"/>
              </w:rPr>
              <w:t xml:space="preserve">施耐德、ABB、德力西、西蒙、正泰、松下</w:t>
            </w:r>
            <w:r/>
          </w:p>
        </w:tc>
      </w:tr>
      <w:tr>
        <w:trPr>
          <w:jc w:val="center"/>
          <w:trHeight w:val="170"/>
        </w:trPr>
        <w:tc>
          <w:tcPr>
            <w:tcW w:w="544" w:type="dxa"/>
            <w:vAlign w:val="center"/>
            <w:textDirection w:val="lrTb"/>
            <w:noWrap w:val="false"/>
          </w:tcPr>
          <w:p>
            <w:pPr>
              <w:pStyle w:val="1312"/>
              <w:ind w:left="139"/>
              <w:keepLines w:val="0"/>
              <w:keepNext w:val="0"/>
              <w:pageBreakBefore w:val="0"/>
              <w:spacing w:before="145" w:line="300" w:lineRule="exact"/>
              <w:widowControl/>
              <w:rPr>
                <w:rFonts w:hint="eastAsia" w:ascii="宋体" w:hAnsi="宋体" w:eastAsia="宋体" w:cs="宋体"/>
                <w:sz w:val="21"/>
                <w:szCs w:val="21"/>
                <w:lang w:val="en-US" w:eastAsia="zh-CN"/>
              </w:rPr>
            </w:pPr>
            <w:r>
              <w:rPr>
                <w:rFonts w:hint="eastAsia" w:ascii="宋体" w:hAnsi="宋体" w:eastAsia="宋体" w:cs="宋体"/>
                <w:spacing w:val="-16"/>
                <w:sz w:val="21"/>
                <w:szCs w:val="21"/>
              </w:rPr>
              <w:t xml:space="preserve">1</w:t>
            </w:r>
            <w:r>
              <w:rPr>
                <w:rFonts w:hint="eastAsia" w:ascii="宋体" w:hAnsi="宋体" w:eastAsia="宋体" w:cs="宋体"/>
                <w:spacing w:val="-16"/>
                <w:sz w:val="21"/>
                <w:szCs w:val="21"/>
                <w:lang w:val="en-US" w:eastAsia="zh-CN"/>
              </w:rPr>
              <w:t xml:space="preserve">0</w:t>
            </w:r>
            <w:r/>
          </w:p>
        </w:tc>
        <w:tc>
          <w:tcPr>
            <w:tcW w:w="1797" w:type="dxa"/>
            <w:vAlign w:val="center"/>
            <w:textDirection w:val="lrTb"/>
            <w:noWrap w:val="false"/>
          </w:tcPr>
          <w:p>
            <w:pPr>
              <w:pStyle w:val="1312"/>
              <w:ind w:left="122"/>
              <w:keepLines w:val="0"/>
              <w:keepNext w:val="0"/>
              <w:pageBreakBefore w:val="0"/>
              <w:spacing w:before="97" w:line="300" w:lineRule="exact"/>
              <w:widowControl/>
              <w:rPr>
                <w:rFonts w:hint="eastAsia" w:ascii="宋体" w:hAnsi="宋体" w:eastAsia="宋体" w:cs="宋体"/>
                <w:sz w:val="21"/>
                <w:szCs w:val="21"/>
              </w:rPr>
            </w:pPr>
            <w:r>
              <w:rPr>
                <w:rFonts w:hint="eastAsia" w:ascii="宋体" w:hAnsi="宋体" w:eastAsia="宋体" w:cs="宋体"/>
                <w:spacing w:val="-8"/>
                <w:sz w:val="21"/>
                <w:szCs w:val="21"/>
              </w:rPr>
              <w:t xml:space="preserve">水泵</w:t>
            </w:r>
            <w:r/>
          </w:p>
        </w:tc>
        <w:tc>
          <w:tcPr>
            <w:tcW w:w="6538" w:type="dxa"/>
            <w:vAlign w:val="center"/>
            <w:textDirection w:val="lrTb"/>
            <w:noWrap w:val="false"/>
          </w:tcPr>
          <w:p>
            <w:pPr>
              <w:pStyle w:val="1312"/>
              <w:ind w:left="124"/>
              <w:keepLines w:val="0"/>
              <w:keepNext w:val="0"/>
              <w:pageBreakBefore w:val="0"/>
              <w:spacing w:before="97" w:line="300" w:lineRule="exact"/>
              <w:widowControl/>
              <w:rPr>
                <w:rFonts w:hint="eastAsia" w:ascii="宋体" w:hAnsi="宋体" w:eastAsia="宋体" w:cs="宋体"/>
                <w:sz w:val="21"/>
                <w:szCs w:val="21"/>
              </w:rPr>
            </w:pPr>
            <w:r>
              <w:rPr>
                <w:rFonts w:hint="eastAsia" w:ascii="宋体" w:hAnsi="宋体" w:eastAsia="宋体" w:cs="宋体"/>
                <w:spacing w:val="-2"/>
                <w:sz w:val="21"/>
                <w:szCs w:val="21"/>
              </w:rPr>
              <w:t xml:space="preserve">连成、凯泉、南方、东方、博山、新界</w:t>
            </w:r>
            <w:r/>
          </w:p>
        </w:tc>
      </w:tr>
      <w:tr>
        <w:trPr>
          <w:jc w:val="center"/>
          <w:trHeight w:val="170"/>
        </w:trPr>
        <w:tc>
          <w:tcPr>
            <w:tcW w:w="544" w:type="dxa"/>
            <w:vAlign w:val="center"/>
            <w:textDirection w:val="lrTb"/>
            <w:noWrap w:val="false"/>
          </w:tcPr>
          <w:p>
            <w:pPr>
              <w:pStyle w:val="1312"/>
              <w:ind w:left="139"/>
              <w:keepLines w:val="0"/>
              <w:keepNext w:val="0"/>
              <w:pageBreakBefore w:val="0"/>
              <w:spacing w:before="210" w:line="300" w:lineRule="exact"/>
              <w:widowControl/>
              <w:rPr>
                <w:rFonts w:hint="eastAsia" w:ascii="宋体" w:hAnsi="宋体" w:eastAsia="宋体" w:cs="宋体"/>
                <w:sz w:val="21"/>
                <w:szCs w:val="21"/>
                <w:lang w:val="en-US" w:eastAsia="zh-CN"/>
              </w:rPr>
            </w:pPr>
            <w:r>
              <w:rPr>
                <w:rFonts w:hint="eastAsia" w:ascii="宋体" w:hAnsi="宋体" w:eastAsia="宋体" w:cs="宋体"/>
                <w:spacing w:val="-16"/>
                <w:sz w:val="21"/>
                <w:szCs w:val="21"/>
              </w:rPr>
              <w:t xml:space="preserve">1</w:t>
            </w:r>
            <w:r>
              <w:rPr>
                <w:rFonts w:hint="eastAsia" w:ascii="宋体" w:hAnsi="宋体" w:eastAsia="宋体" w:cs="宋体"/>
                <w:spacing w:val="-16"/>
                <w:sz w:val="21"/>
                <w:szCs w:val="21"/>
                <w:lang w:val="en-US" w:eastAsia="zh-CN"/>
              </w:rPr>
              <w:t xml:space="preserve">1</w:t>
            </w:r>
            <w:r/>
          </w:p>
        </w:tc>
        <w:tc>
          <w:tcPr>
            <w:tcW w:w="1797" w:type="dxa"/>
            <w:vAlign w:val="center"/>
            <w:textDirection w:val="lrTb"/>
            <w:noWrap w:val="false"/>
          </w:tcPr>
          <w:p>
            <w:pPr>
              <w:pStyle w:val="1312"/>
              <w:ind w:left="123"/>
              <w:keepLines w:val="0"/>
              <w:keepNext w:val="0"/>
              <w:pageBreakBefore w:val="0"/>
              <w:spacing w:before="162" w:line="300" w:lineRule="exact"/>
              <w:widowControl/>
              <w:rPr>
                <w:rFonts w:hint="eastAsia" w:ascii="宋体" w:hAnsi="宋体" w:eastAsia="宋体" w:cs="宋体"/>
                <w:sz w:val="21"/>
                <w:szCs w:val="21"/>
              </w:rPr>
            </w:pPr>
            <w:r>
              <w:rPr>
                <w:rFonts w:hint="eastAsia" w:ascii="宋体" w:hAnsi="宋体" w:eastAsia="宋体" w:cs="宋体"/>
                <w:spacing w:val="-9"/>
                <w:sz w:val="21"/>
                <w:szCs w:val="21"/>
              </w:rPr>
              <w:t xml:space="preserve">木门</w:t>
            </w:r>
            <w:r/>
          </w:p>
        </w:tc>
        <w:tc>
          <w:tcPr>
            <w:tcW w:w="6538" w:type="dxa"/>
            <w:vAlign w:val="center"/>
            <w:textDirection w:val="lrTb"/>
            <w:noWrap w:val="false"/>
          </w:tcPr>
          <w:p>
            <w:pPr>
              <w:pStyle w:val="1312"/>
              <w:ind w:left="132"/>
              <w:keepLines w:val="0"/>
              <w:keepNext w:val="0"/>
              <w:pageBreakBefore w:val="0"/>
              <w:spacing w:before="162" w:line="300" w:lineRule="exact"/>
              <w:widowControl/>
              <w:rPr>
                <w:rFonts w:hint="eastAsia" w:ascii="宋体" w:hAnsi="宋体" w:eastAsia="宋体" w:cs="宋体"/>
                <w:sz w:val="21"/>
                <w:szCs w:val="21"/>
              </w:rPr>
            </w:pPr>
            <w:r>
              <w:rPr>
                <w:rFonts w:hint="eastAsia" w:ascii="宋体" w:hAnsi="宋体" w:eastAsia="宋体" w:cs="宋体"/>
                <w:spacing w:val="-2"/>
                <w:sz w:val="21"/>
                <w:szCs w:val="21"/>
              </w:rPr>
              <w:t xml:space="preserve">梦天、TATA、扬子、美心、大建、海恒利尔、家</w:t>
            </w:r>
            <w:r>
              <w:rPr>
                <w:rFonts w:hint="eastAsia" w:ascii="宋体" w:hAnsi="宋体" w:eastAsia="宋体" w:cs="宋体"/>
                <w:spacing w:val="-3"/>
                <w:sz w:val="21"/>
                <w:szCs w:val="21"/>
              </w:rPr>
              <w:t xml:space="preserve">博士</w:t>
            </w:r>
            <w:r/>
          </w:p>
        </w:tc>
      </w:tr>
      <w:tr>
        <w:trPr>
          <w:jc w:val="center"/>
          <w:trHeight w:val="170"/>
        </w:trPr>
        <w:tc>
          <w:tcPr>
            <w:tcW w:w="544" w:type="dxa"/>
            <w:vAlign w:val="center"/>
            <w:textDirection w:val="lrTb"/>
            <w:noWrap w:val="false"/>
          </w:tcPr>
          <w:p>
            <w:pPr>
              <w:pStyle w:val="1312"/>
              <w:ind w:left="139"/>
              <w:keepLines w:val="0"/>
              <w:keepNext w:val="0"/>
              <w:pageBreakBefore w:val="0"/>
              <w:spacing w:before="272" w:line="300" w:lineRule="exact"/>
              <w:widowControl/>
              <w:rPr>
                <w:rFonts w:hint="eastAsia" w:ascii="宋体" w:hAnsi="宋体" w:eastAsia="宋体" w:cs="宋体"/>
                <w:sz w:val="21"/>
                <w:szCs w:val="21"/>
                <w:lang w:val="en-US" w:eastAsia="zh-CN"/>
              </w:rPr>
            </w:pPr>
            <w:r>
              <w:rPr>
                <w:rFonts w:hint="eastAsia" w:ascii="宋体" w:hAnsi="宋体" w:eastAsia="宋体" w:cs="宋体"/>
                <w:spacing w:val="-16"/>
                <w:sz w:val="21"/>
                <w:szCs w:val="21"/>
              </w:rPr>
              <w:t xml:space="preserve">1</w:t>
            </w:r>
            <w:r>
              <w:rPr>
                <w:rFonts w:hint="eastAsia" w:ascii="宋体" w:hAnsi="宋体" w:eastAsia="宋体" w:cs="宋体"/>
                <w:spacing w:val="-16"/>
                <w:sz w:val="21"/>
                <w:szCs w:val="21"/>
                <w:lang w:val="en-US" w:eastAsia="zh-CN"/>
              </w:rPr>
              <w:t xml:space="preserve">2</w:t>
            </w:r>
            <w:r/>
          </w:p>
        </w:tc>
        <w:tc>
          <w:tcPr>
            <w:tcW w:w="1797" w:type="dxa"/>
            <w:vAlign w:val="center"/>
            <w:textDirection w:val="lrTb"/>
            <w:noWrap w:val="false"/>
          </w:tcPr>
          <w:p>
            <w:pPr>
              <w:pStyle w:val="1312"/>
              <w:ind w:left="122" w:right="26" w:firstLine="5"/>
              <w:keepLines w:val="0"/>
              <w:keepNext w:val="0"/>
              <w:pageBreakBefore w:val="0"/>
              <w:spacing w:before="43" w:line="300" w:lineRule="exact"/>
              <w:widowControl/>
              <w:rPr>
                <w:rFonts w:hint="eastAsia" w:ascii="宋体" w:hAnsi="宋体" w:eastAsia="宋体" w:cs="宋体"/>
                <w:sz w:val="21"/>
                <w:szCs w:val="21"/>
              </w:rPr>
            </w:pPr>
            <w:r>
              <w:rPr>
                <w:rFonts w:hint="eastAsia" w:ascii="宋体" w:hAnsi="宋体" w:eastAsia="宋体" w:cs="宋体"/>
                <w:spacing w:val="-12"/>
                <w:sz w:val="21"/>
                <w:szCs w:val="21"/>
              </w:rPr>
              <w:t xml:space="preserve">卫浴、洁具、</w:t>
            </w:r>
            <w:r>
              <w:rPr>
                <w:rFonts w:hint="eastAsia" w:ascii="宋体" w:hAnsi="宋体" w:eastAsia="宋体" w:cs="宋体"/>
                <w:spacing w:val="2"/>
                <w:sz w:val="21"/>
                <w:szCs w:val="21"/>
              </w:rPr>
              <w:t xml:space="preserve"> </w:t>
            </w:r>
            <w:r>
              <w:rPr>
                <w:rFonts w:hint="eastAsia" w:ascii="宋体" w:hAnsi="宋体" w:eastAsia="宋体" w:cs="宋体"/>
                <w:spacing w:val="-6"/>
                <w:sz w:val="21"/>
                <w:szCs w:val="21"/>
              </w:rPr>
              <w:t xml:space="preserve">水龙头</w:t>
            </w:r>
            <w:r/>
          </w:p>
        </w:tc>
        <w:tc>
          <w:tcPr>
            <w:tcW w:w="6538" w:type="dxa"/>
            <w:vAlign w:val="center"/>
            <w:textDirection w:val="lrTb"/>
            <w:noWrap w:val="false"/>
          </w:tcPr>
          <w:p>
            <w:pPr>
              <w:pStyle w:val="1312"/>
              <w:ind w:left="124"/>
              <w:keepLines w:val="0"/>
              <w:keepNext w:val="0"/>
              <w:pageBreakBefore w:val="0"/>
              <w:spacing w:before="224" w:line="300" w:lineRule="exact"/>
              <w:widowControl/>
              <w:rPr>
                <w:rFonts w:hint="eastAsia" w:ascii="宋体" w:hAnsi="宋体" w:eastAsia="宋体" w:cs="宋体"/>
                <w:sz w:val="21"/>
                <w:szCs w:val="21"/>
              </w:rPr>
            </w:pPr>
            <w:r>
              <w:rPr>
                <w:rFonts w:hint="eastAsia" w:ascii="宋体" w:hAnsi="宋体" w:eastAsia="宋体" w:cs="宋体"/>
                <w:spacing w:val="-1"/>
                <w:sz w:val="21"/>
                <w:szCs w:val="21"/>
              </w:rPr>
              <w:t xml:space="preserve">科勒、TOTO、箭牌、法恩莎、鹰牌、惠达</w:t>
            </w:r>
            <w:r/>
          </w:p>
        </w:tc>
      </w:tr>
      <w:tr>
        <w:trPr>
          <w:jc w:val="center"/>
          <w:trHeight w:val="170"/>
        </w:trPr>
        <w:tc>
          <w:tcPr>
            <w:tcW w:w="544" w:type="dxa"/>
            <w:vAlign w:val="center"/>
            <w:textDirection w:val="lrTb"/>
            <w:noWrap w:val="false"/>
          </w:tcPr>
          <w:p>
            <w:pPr>
              <w:pStyle w:val="1312"/>
              <w:ind w:left="139"/>
              <w:keepLines w:val="0"/>
              <w:keepNext w:val="0"/>
              <w:pageBreakBefore w:val="0"/>
              <w:spacing w:before="173" w:line="300" w:lineRule="exact"/>
              <w:widowControl/>
              <w:rPr>
                <w:rFonts w:hint="eastAsia" w:ascii="宋体" w:hAnsi="宋体" w:eastAsia="宋体" w:cs="宋体"/>
                <w:sz w:val="21"/>
                <w:szCs w:val="21"/>
                <w:lang w:val="en-US" w:eastAsia="zh-CN"/>
              </w:rPr>
            </w:pPr>
            <w:r>
              <w:rPr>
                <w:rFonts w:hint="eastAsia" w:ascii="宋体" w:hAnsi="宋体" w:eastAsia="宋体" w:cs="宋体"/>
                <w:spacing w:val="-16"/>
                <w:sz w:val="21"/>
                <w:szCs w:val="21"/>
              </w:rPr>
              <w:t xml:space="preserve">1</w:t>
            </w:r>
            <w:r>
              <w:rPr>
                <w:rFonts w:hint="eastAsia" w:ascii="宋体" w:hAnsi="宋体" w:eastAsia="宋体" w:cs="宋体"/>
                <w:spacing w:val="-16"/>
                <w:sz w:val="21"/>
                <w:szCs w:val="21"/>
                <w:lang w:val="en-US" w:eastAsia="zh-CN"/>
              </w:rPr>
              <w:t xml:space="preserve">3</w:t>
            </w:r>
            <w:r/>
          </w:p>
        </w:tc>
        <w:tc>
          <w:tcPr>
            <w:tcW w:w="1797" w:type="dxa"/>
            <w:vAlign w:val="center"/>
            <w:textDirection w:val="lrTb"/>
            <w:noWrap w:val="false"/>
          </w:tcPr>
          <w:p>
            <w:pPr>
              <w:pStyle w:val="1312"/>
              <w:ind w:left="138"/>
              <w:keepLines w:val="0"/>
              <w:keepNext w:val="0"/>
              <w:pageBreakBefore w:val="0"/>
              <w:spacing w:before="124" w:line="300" w:lineRule="exact"/>
              <w:widowControl/>
              <w:rPr>
                <w:rFonts w:hint="eastAsia" w:ascii="宋体" w:hAnsi="宋体" w:eastAsia="宋体" w:cs="宋体"/>
                <w:sz w:val="21"/>
                <w:szCs w:val="21"/>
              </w:rPr>
            </w:pPr>
            <w:r>
              <w:rPr>
                <w:rFonts w:hint="eastAsia" w:ascii="宋体" w:hAnsi="宋体" w:eastAsia="宋体" w:cs="宋体"/>
                <w:spacing w:val="-17"/>
                <w:sz w:val="21"/>
                <w:szCs w:val="21"/>
              </w:rPr>
              <w:t xml:space="preserve">管材</w:t>
            </w:r>
            <w:r/>
          </w:p>
        </w:tc>
        <w:tc>
          <w:tcPr>
            <w:tcW w:w="6538" w:type="dxa"/>
            <w:vAlign w:val="center"/>
            <w:textDirection w:val="lrTb"/>
            <w:noWrap w:val="false"/>
          </w:tcPr>
          <w:p>
            <w:pPr>
              <w:pStyle w:val="1312"/>
              <w:ind w:left="128"/>
              <w:keepLines w:val="0"/>
              <w:keepNext w:val="0"/>
              <w:pageBreakBefore w:val="0"/>
              <w:spacing w:before="124" w:line="300" w:lineRule="exact"/>
              <w:widowControl/>
              <w:rPr>
                <w:rFonts w:hint="eastAsia" w:ascii="宋体" w:hAnsi="宋体" w:eastAsia="宋体" w:cs="宋体"/>
                <w:sz w:val="21"/>
                <w:szCs w:val="21"/>
              </w:rPr>
            </w:pPr>
            <w:r>
              <w:rPr>
                <w:rFonts w:hint="eastAsia" w:ascii="宋体" w:hAnsi="宋体" w:eastAsia="宋体" w:cs="宋体"/>
                <w:spacing w:val="-5"/>
                <w:sz w:val="21"/>
                <w:szCs w:val="21"/>
              </w:rPr>
              <w:t xml:space="preserve">公元、伟星、中财、公牛、南山管业、</w:t>
            </w:r>
            <w:r>
              <w:rPr>
                <w:rFonts w:hint="eastAsia" w:ascii="宋体" w:hAnsi="宋体" w:eastAsia="宋体" w:cs="宋体"/>
                <w:spacing w:val="-61"/>
                <w:sz w:val="21"/>
                <w:szCs w:val="21"/>
              </w:rPr>
              <w:t xml:space="preserve"> </w:t>
            </w:r>
            <w:r>
              <w:rPr>
                <w:rFonts w:hint="eastAsia" w:ascii="宋体" w:hAnsi="宋体" w:eastAsia="宋体" w:cs="宋体"/>
                <w:spacing w:val="-5"/>
                <w:sz w:val="21"/>
                <w:szCs w:val="21"/>
              </w:rPr>
              <w:t xml:space="preserve">日丰管业</w:t>
            </w:r>
            <w:r/>
          </w:p>
        </w:tc>
      </w:tr>
      <w:tr>
        <w:trPr>
          <w:jc w:val="center"/>
          <w:trHeight w:val="170"/>
        </w:trPr>
        <w:tc>
          <w:tcPr>
            <w:tcW w:w="544" w:type="dxa"/>
            <w:vAlign w:val="center"/>
            <w:textDirection w:val="lrTb"/>
            <w:noWrap w:val="false"/>
          </w:tcPr>
          <w:p>
            <w:pPr>
              <w:pStyle w:val="1312"/>
              <w:ind w:left="139"/>
              <w:keepLines w:val="0"/>
              <w:keepNext w:val="0"/>
              <w:pageBreakBefore w:val="0"/>
              <w:spacing w:before="274" w:line="300" w:lineRule="exact"/>
              <w:widowControl/>
              <w:rPr>
                <w:rFonts w:hint="eastAsia" w:ascii="宋体" w:hAnsi="宋体" w:eastAsia="宋体" w:cs="宋体"/>
                <w:sz w:val="21"/>
                <w:szCs w:val="21"/>
                <w:lang w:val="en-US" w:eastAsia="zh-CN"/>
              </w:rPr>
            </w:pPr>
            <w:r>
              <w:rPr>
                <w:rFonts w:hint="eastAsia" w:ascii="宋体" w:hAnsi="宋体" w:eastAsia="宋体" w:cs="宋体"/>
                <w:spacing w:val="-16"/>
                <w:sz w:val="21"/>
                <w:szCs w:val="21"/>
              </w:rPr>
              <w:t xml:space="preserve">1</w:t>
            </w:r>
            <w:r>
              <w:rPr>
                <w:rFonts w:hint="eastAsia" w:ascii="宋体" w:hAnsi="宋体" w:eastAsia="宋体" w:cs="宋体"/>
                <w:spacing w:val="-16"/>
                <w:sz w:val="21"/>
                <w:szCs w:val="21"/>
                <w:lang w:val="en-US" w:eastAsia="zh-CN"/>
              </w:rPr>
              <w:t xml:space="preserve">4</w:t>
            </w:r>
            <w:r/>
          </w:p>
        </w:tc>
        <w:tc>
          <w:tcPr>
            <w:tcW w:w="1797" w:type="dxa"/>
            <w:vAlign w:val="center"/>
            <w:textDirection w:val="lrTb"/>
            <w:noWrap w:val="false"/>
          </w:tcPr>
          <w:p>
            <w:pPr>
              <w:pStyle w:val="1312"/>
              <w:ind w:left="122"/>
              <w:keepLines w:val="0"/>
              <w:keepNext w:val="0"/>
              <w:pageBreakBefore w:val="0"/>
              <w:spacing w:before="225" w:line="300" w:lineRule="exact"/>
              <w:widowControl/>
              <w:rPr>
                <w:rFonts w:hint="eastAsia" w:ascii="宋体" w:hAnsi="宋体" w:eastAsia="宋体" w:cs="宋体"/>
                <w:sz w:val="21"/>
                <w:szCs w:val="21"/>
              </w:rPr>
            </w:pPr>
            <w:r>
              <w:rPr>
                <w:rFonts w:hint="eastAsia" w:ascii="宋体" w:hAnsi="宋体" w:eastAsia="宋体" w:cs="宋体"/>
                <w:spacing w:val="-6"/>
                <w:sz w:val="21"/>
                <w:szCs w:val="21"/>
              </w:rPr>
              <w:t xml:space="preserve">墙地砖</w:t>
            </w:r>
            <w:r/>
          </w:p>
        </w:tc>
        <w:tc>
          <w:tcPr>
            <w:tcW w:w="6538" w:type="dxa"/>
            <w:vAlign w:val="center"/>
            <w:textDirection w:val="lrTb"/>
            <w:noWrap w:val="false"/>
          </w:tcPr>
          <w:p>
            <w:pPr>
              <w:pStyle w:val="1312"/>
              <w:ind w:left="126" w:right="147" w:hanging="4"/>
              <w:keepLines w:val="0"/>
              <w:keepNext w:val="0"/>
              <w:pageBreakBefore w:val="0"/>
              <w:spacing w:before="47" w:line="300" w:lineRule="exact"/>
              <w:widowControl/>
              <w:rPr>
                <w:rFonts w:hint="eastAsia" w:ascii="宋体" w:hAnsi="宋体" w:eastAsia="宋体" w:cs="宋体"/>
                <w:sz w:val="21"/>
                <w:szCs w:val="21"/>
              </w:rPr>
            </w:pPr>
            <w:r>
              <w:rPr>
                <w:rFonts w:hint="eastAsia" w:ascii="宋体" w:hAnsi="宋体" w:eastAsia="宋体" w:cs="宋体"/>
                <w:spacing w:val="-1"/>
                <w:sz w:val="21"/>
                <w:szCs w:val="21"/>
              </w:rPr>
              <w:t xml:space="preserve">诺贝尔、冠珠、马可波罗、唯美</w:t>
            </w:r>
            <w:r>
              <w:rPr>
                <w:rFonts w:hint="eastAsia" w:ascii="宋体" w:hAnsi="宋体" w:eastAsia="宋体" w:cs="宋体"/>
                <w:spacing w:val="-63"/>
                <w:sz w:val="21"/>
                <w:szCs w:val="21"/>
              </w:rPr>
              <w:t xml:space="preserve"> </w:t>
            </w:r>
            <w:r>
              <w:rPr>
                <w:rFonts w:hint="eastAsia" w:ascii="宋体" w:hAnsi="宋体" w:eastAsia="宋体" w:cs="宋体"/>
                <w:spacing w:val="-1"/>
                <w:sz w:val="21"/>
                <w:szCs w:val="21"/>
              </w:rPr>
              <w:t xml:space="preserve">L&amp;D、东鹏、鹰牌、</w:t>
            </w:r>
            <w:r>
              <w:rPr>
                <w:rFonts w:hint="eastAsia" w:ascii="宋体" w:hAnsi="宋体" w:eastAsia="宋体" w:cs="宋体"/>
                <w:sz w:val="21"/>
                <w:szCs w:val="21"/>
              </w:rPr>
              <w:t xml:space="preserve"> </w:t>
            </w:r>
            <w:r>
              <w:rPr>
                <w:rFonts w:hint="eastAsia" w:ascii="宋体" w:hAnsi="宋体" w:eastAsia="宋体" w:cs="宋体"/>
                <w:spacing w:val="-5"/>
                <w:sz w:val="21"/>
                <w:szCs w:val="21"/>
              </w:rPr>
              <w:t xml:space="preserve">冠军、博德</w:t>
            </w:r>
            <w:r/>
          </w:p>
        </w:tc>
      </w:tr>
      <w:tr>
        <w:trPr>
          <w:jc w:val="center"/>
          <w:trHeight w:val="170"/>
        </w:trPr>
        <w:tc>
          <w:tcPr>
            <w:tcW w:w="544" w:type="dxa"/>
            <w:vAlign w:val="center"/>
            <w:textDirection w:val="lrTb"/>
            <w:noWrap w:val="false"/>
          </w:tcPr>
          <w:p>
            <w:pPr>
              <w:pStyle w:val="1312"/>
              <w:ind w:left="139"/>
              <w:keepLines w:val="0"/>
              <w:keepNext w:val="0"/>
              <w:pageBreakBefore w:val="0"/>
              <w:spacing w:before="174" w:line="300" w:lineRule="exact"/>
              <w:widowControl/>
              <w:rPr>
                <w:rFonts w:hint="eastAsia" w:ascii="宋体" w:hAnsi="宋体" w:eastAsia="宋体" w:cs="宋体"/>
                <w:sz w:val="21"/>
                <w:szCs w:val="21"/>
                <w:lang w:val="en-US" w:eastAsia="zh-CN"/>
              </w:rPr>
            </w:pPr>
            <w:r>
              <w:rPr>
                <w:rFonts w:hint="eastAsia" w:ascii="宋体" w:hAnsi="宋体" w:eastAsia="宋体" w:cs="宋体"/>
                <w:spacing w:val="-16"/>
                <w:sz w:val="21"/>
                <w:szCs w:val="21"/>
              </w:rPr>
              <w:t xml:space="preserve">1</w:t>
            </w:r>
            <w:r>
              <w:rPr>
                <w:rFonts w:hint="eastAsia" w:ascii="宋体" w:hAnsi="宋体" w:eastAsia="宋体" w:cs="宋体"/>
                <w:spacing w:val="-16"/>
                <w:sz w:val="21"/>
                <w:szCs w:val="21"/>
                <w:lang w:val="en-US" w:eastAsia="zh-CN"/>
              </w:rPr>
              <w:t xml:space="preserve">5</w:t>
            </w:r>
            <w:r/>
          </w:p>
        </w:tc>
        <w:tc>
          <w:tcPr>
            <w:tcW w:w="1797" w:type="dxa"/>
            <w:vAlign w:val="center"/>
            <w:textDirection w:val="lrTb"/>
            <w:noWrap w:val="false"/>
          </w:tcPr>
          <w:p>
            <w:pPr>
              <w:pStyle w:val="1312"/>
              <w:ind w:left="141"/>
              <w:keepLines w:val="0"/>
              <w:keepNext w:val="0"/>
              <w:pageBreakBefore w:val="0"/>
              <w:spacing w:before="126" w:line="300" w:lineRule="exact"/>
              <w:widowControl/>
              <w:rPr>
                <w:rFonts w:hint="eastAsia" w:ascii="宋体" w:hAnsi="宋体" w:eastAsia="宋体" w:cs="宋体"/>
                <w:sz w:val="21"/>
                <w:szCs w:val="21"/>
              </w:rPr>
            </w:pPr>
            <w:r>
              <w:rPr>
                <w:rFonts w:hint="eastAsia" w:ascii="宋体" w:hAnsi="宋体" w:eastAsia="宋体" w:cs="宋体"/>
                <w:spacing w:val="-18"/>
                <w:sz w:val="21"/>
                <w:szCs w:val="21"/>
              </w:rPr>
              <w:t xml:space="preserve">防水</w:t>
            </w:r>
            <w:r/>
          </w:p>
        </w:tc>
        <w:tc>
          <w:tcPr>
            <w:tcW w:w="6538" w:type="dxa"/>
            <w:vAlign w:val="center"/>
            <w:textDirection w:val="lrTb"/>
            <w:noWrap w:val="false"/>
          </w:tcPr>
          <w:p>
            <w:pPr>
              <w:pStyle w:val="1312"/>
              <w:ind w:left="123"/>
              <w:keepLines w:val="0"/>
              <w:keepNext w:val="0"/>
              <w:pageBreakBefore w:val="0"/>
              <w:spacing w:before="125" w:line="300" w:lineRule="exact"/>
              <w:widowControl/>
              <w:rPr>
                <w:rFonts w:hint="eastAsia" w:ascii="宋体" w:hAnsi="宋体" w:eastAsia="宋体" w:cs="宋体"/>
                <w:sz w:val="21"/>
                <w:szCs w:val="21"/>
              </w:rPr>
            </w:pPr>
            <w:r>
              <w:rPr>
                <w:rFonts w:hint="eastAsia" w:ascii="宋体" w:hAnsi="宋体" w:eastAsia="宋体" w:cs="宋体"/>
                <w:spacing w:val="-1"/>
                <w:sz w:val="21"/>
                <w:szCs w:val="21"/>
              </w:rPr>
              <w:t xml:space="preserve">雨虹、卓宝、宏源、德高、科顺、阿尔法</w:t>
            </w:r>
            <w:r/>
          </w:p>
        </w:tc>
      </w:tr>
    </w:tbl>
    <w:p>
      <w:pPr>
        <w:ind w:firstLine="482"/>
        <w:jc w:val="left"/>
        <w:keepLines w:val="0"/>
        <w:keepNext w:val="0"/>
        <w:pageBreakBefore w:val="0"/>
        <w:spacing w:line="42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82"/>
        <w:jc w:val="left"/>
        <w:keepLines w:val="0"/>
        <w:keepNext w:val="0"/>
        <w:pageBreakBefore w:val="0"/>
        <w:spacing w:line="4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（1）未经</w:t>
      </w:r>
      <w:r>
        <w:rPr>
          <w:rFonts w:hint="eastAsia" w:ascii="宋体" w:hAnsi="宋体" w:eastAsia="宋体" w:cs="宋体"/>
          <w:b/>
          <w:bCs/>
          <w:color w:val="000000"/>
          <w:sz w:val="24"/>
          <w:szCs w:val="24"/>
          <w:lang w:val="en-US" w:eastAsia="zh-CN"/>
        </w:rPr>
        <w:t xml:space="preserve">发包</w:t>
      </w:r>
      <w:r>
        <w:rPr>
          <w:rFonts w:hint="eastAsia" w:ascii="宋体" w:hAnsi="宋体" w:eastAsia="宋体" w:cs="宋体"/>
          <w:b/>
          <w:bCs/>
          <w:color w:val="000000"/>
          <w:sz w:val="24"/>
          <w:szCs w:val="24"/>
        </w:rPr>
        <w:t xml:space="preserve">人同意，</w:t>
      </w:r>
      <w:r>
        <w:rPr>
          <w:rFonts w:hint="eastAsia" w:ascii="宋体" w:hAnsi="宋体" w:eastAsia="宋体" w:cs="宋体"/>
          <w:b/>
          <w:bCs/>
          <w:color w:val="000000"/>
          <w:sz w:val="24"/>
          <w:szCs w:val="24"/>
          <w:lang w:val="en-US" w:eastAsia="zh-CN"/>
        </w:rPr>
        <w:t xml:space="preserve">承包</w:t>
      </w:r>
      <w:r>
        <w:rPr>
          <w:rFonts w:hint="eastAsia" w:ascii="宋体" w:hAnsi="宋体" w:eastAsia="宋体" w:cs="宋体"/>
          <w:b/>
          <w:bCs/>
          <w:color w:val="000000"/>
          <w:sz w:val="24"/>
          <w:szCs w:val="24"/>
        </w:rPr>
        <w:t xml:space="preserve">人不得变更“乙供甲控”材料中指定的品牌</w:t>
      </w:r>
      <w:r>
        <w:rPr>
          <w:rFonts w:hint="eastAsia" w:ascii="宋体" w:hAnsi="宋体" w:eastAsia="宋体" w:cs="宋体"/>
          <w:b/>
          <w:bCs/>
          <w:color w:val="000000"/>
          <w:sz w:val="24"/>
          <w:szCs w:val="24"/>
          <w:lang w:eastAsia="zh-CN"/>
        </w:rPr>
        <w:t xml:space="preserve">（以注册商标为准）</w:t>
      </w:r>
      <w:r>
        <w:rPr>
          <w:rFonts w:hint="eastAsia" w:ascii="宋体" w:hAnsi="宋体" w:eastAsia="宋体" w:cs="宋体"/>
          <w:b/>
          <w:bCs/>
          <w:color w:val="000000"/>
          <w:sz w:val="24"/>
          <w:szCs w:val="24"/>
        </w:rPr>
        <w:t xml:space="preserve">，每发生一次，承包人支付给发包人违约金</w:t>
      </w: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万元，从工程进度款中扣除，同时所进场材料无条件退场。</w:t>
      </w:r>
      <w:r/>
    </w:p>
    <w:p>
      <w:pPr>
        <w:ind w:firstLine="482"/>
        <w:jc w:val="left"/>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（2）未指定品牌的其他材料、设备，承包人提供同等档次的品牌，经</w:t>
      </w:r>
      <w:r>
        <w:rPr>
          <w:rFonts w:hint="eastAsia" w:ascii="宋体" w:hAnsi="宋体" w:eastAsia="宋体" w:cs="宋体"/>
          <w:b/>
          <w:bCs/>
          <w:color w:val="000000"/>
          <w:sz w:val="24"/>
          <w:szCs w:val="24"/>
          <w:lang w:val="en-US" w:eastAsia="zh-CN"/>
        </w:rPr>
        <w:t xml:space="preserve">发包</w:t>
      </w:r>
      <w:r>
        <w:rPr>
          <w:rFonts w:hint="eastAsia" w:ascii="宋体" w:hAnsi="宋体" w:eastAsia="宋体" w:cs="宋体"/>
          <w:b/>
          <w:bCs/>
          <w:color w:val="000000"/>
          <w:sz w:val="24"/>
          <w:szCs w:val="24"/>
        </w:rPr>
        <w:t xml:space="preserve">人、监理</w:t>
      </w:r>
      <w:r>
        <w:rPr>
          <w:rFonts w:hint="eastAsia" w:ascii="宋体" w:hAnsi="宋体" w:eastAsia="宋体" w:cs="宋体"/>
          <w:b/>
          <w:bCs/>
          <w:color w:val="000000"/>
          <w:sz w:val="24"/>
          <w:szCs w:val="24"/>
          <w:lang w:eastAsia="zh-CN"/>
        </w:rPr>
        <w:t xml:space="preserve">单位</w:t>
      </w:r>
      <w:r>
        <w:rPr>
          <w:rFonts w:hint="eastAsia" w:ascii="宋体" w:hAnsi="宋体" w:eastAsia="宋体" w:cs="宋体"/>
          <w:b/>
          <w:bCs/>
          <w:color w:val="000000"/>
          <w:sz w:val="24"/>
          <w:szCs w:val="24"/>
        </w:rPr>
        <w:t xml:space="preserve">书面同意品牌材质后购买。</w:t>
      </w:r>
      <w:r/>
    </w:p>
    <w:p>
      <w:pPr>
        <w:jc w:val="left"/>
        <w:keepLines w:val="0"/>
        <w:keepNext w:val="0"/>
        <w:pageBreakBefore w:val="0"/>
        <w:spacing w:line="420" w:lineRule="exact"/>
        <w:widowControl/>
        <w:rPr>
          <w:rFonts w:hint="eastAsia" w:ascii="宋体" w:hAnsi="宋体" w:eastAsia="宋体" w:cs="宋体"/>
        </w:rPr>
        <w:sectPr>
          <w:headerReference w:type="default" r:id="rId12"/>
          <w:footerReference w:type="default" r:id="rId21"/>
          <w:footerReference w:type="first" r:id="rId22"/>
          <w:footnotePr/>
          <w:endnotePr/>
          <w:type w:val="nextPage"/>
          <w:pgSz w:w="11906" w:h="16838" w:orient="portrait"/>
          <w:pgMar w:top="1418" w:right="1555" w:bottom="1418" w:left="1531" w:header="851" w:footer="992" w:gutter="0"/>
          <w:cols w:num="1" w:sep="0" w:space="720" w:equalWidth="1"/>
          <w:docGrid w:linePitch="360"/>
          <w:titlePg/>
        </w:sectPr>
        <w:suppressLineNumbers w:val="0"/>
      </w:pPr>
      <w:r>
        <w:rPr>
          <w:rFonts w:hint="eastAsia" w:ascii="宋体" w:hAnsi="宋体" w:eastAsia="宋体" w:cs="宋体"/>
        </w:rPr>
      </w:r>
      <w:r/>
    </w:p>
    <w:p>
      <w:pPr>
        <w:jc w:val="left"/>
        <w:keepLines w:val="0"/>
        <w:keepNext w:val="0"/>
        <w:pageBreakBefore w:val="0"/>
        <w:spacing w:line="420" w:lineRule="exact"/>
        <w:widowControl/>
        <w:rPr>
          <w:rFonts w:hint="eastAsia" w:ascii="宋体" w:hAnsi="宋体" w:eastAsia="宋体" w:cs="宋体"/>
          <w:color w:val="000000"/>
          <w:szCs w:val="21"/>
        </w:rPr>
        <w:suppressLineNumbers w:val="0"/>
      </w:pPr>
      <w:r>
        <w:rPr>
          <w:rFonts w:hint="eastAsia" w:ascii="宋体" w:hAnsi="宋体" w:eastAsia="宋体" w:cs="宋体"/>
        </w:rPr>
        <w:t xml:space="preserve">                                                                                                                     </w:t>
      </w:r>
      <w:r/>
    </w:p>
    <w:p>
      <w:pPr>
        <w:ind w:firstLine="482"/>
        <w:jc w:val="left"/>
        <w:keepLines w:val="0"/>
        <w:keepNext w:val="0"/>
        <w:pageBreakBefore w:val="0"/>
        <w:spacing w:line="40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p>
      <w:pPr>
        <w:jc w:val="left"/>
        <w:keepLines w:val="0"/>
        <w:keepNext w:val="0"/>
        <w:pageBreakBefore w:val="0"/>
        <w:spacing w:line="420" w:lineRule="exact"/>
        <w:rPr>
          <w:rFonts w:hint="eastAsia" w:ascii="宋体" w:hAnsi="宋体" w:eastAsia="宋体" w:cs="宋体"/>
          <w:color w:val="000000"/>
          <w:sz w:val="24"/>
        </w:rPr>
      </w:pPr>
      <w:r>
        <w:rPr>
          <w:rFonts w:hint="eastAsia" w:ascii="宋体" w:hAnsi="宋体" w:eastAsia="宋体" w:cs="宋体"/>
          <w:color w:val="000000"/>
          <w:sz w:val="24"/>
        </w:rPr>
        <w:t xml:space="preserve">附件</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：工程质量保修书</w:t>
      </w:r>
      <w:r/>
    </w:p>
    <w:p>
      <w:pPr>
        <w:jc w:val="left"/>
        <w:keepLines w:val="0"/>
        <w:keepNext w:val="0"/>
        <w:pageBreakBefore w:val="0"/>
        <w:spacing w:line="420" w:lineRule="exact"/>
        <w:rPr>
          <w:rFonts w:hint="eastAsia" w:ascii="宋体" w:hAnsi="宋体" w:eastAsia="宋体" w:cs="宋体"/>
          <w:color w:val="000000"/>
          <w:sz w:val="24"/>
        </w:rPr>
      </w:pPr>
      <w:r>
        <w:rPr>
          <w:rFonts w:hint="eastAsia" w:ascii="宋体" w:hAnsi="宋体" w:eastAsia="宋体" w:cs="宋体"/>
          <w:color w:val="000000"/>
          <w:sz w:val="24"/>
        </w:rPr>
        <w:t xml:space="preserve">附件</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：承包人用于本工程施工的机械设备表</w:t>
      </w:r>
      <w:r/>
    </w:p>
    <w:p>
      <w:pPr>
        <w:jc w:val="left"/>
        <w:keepLines w:val="0"/>
        <w:keepNext w:val="0"/>
        <w:pageBreakBefore w:val="0"/>
        <w:spacing w:line="420" w:lineRule="exact"/>
        <w:rPr>
          <w:rFonts w:hint="eastAsia" w:ascii="宋体" w:hAnsi="宋体" w:eastAsia="宋体" w:cs="宋体"/>
          <w:color w:val="000000"/>
          <w:sz w:val="24"/>
        </w:rPr>
      </w:pPr>
      <w:r>
        <w:rPr>
          <w:rFonts w:hint="eastAsia" w:ascii="宋体" w:hAnsi="宋体" w:eastAsia="宋体" w:cs="宋体"/>
          <w:color w:val="000000"/>
          <w:sz w:val="24"/>
        </w:rPr>
        <w:t xml:space="preserve">附件</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：承包人主要施工管理人员表</w:t>
      </w:r>
      <w:r/>
    </w:p>
    <w:p>
      <w:pPr>
        <w:jc w:val="left"/>
        <w:keepLines w:val="0"/>
        <w:keepNext w:val="0"/>
        <w:pageBreakBefore w:val="0"/>
        <w:spacing w:line="420" w:lineRule="exact"/>
        <w:rPr>
          <w:rFonts w:hint="eastAsia" w:ascii="宋体" w:hAnsi="宋体" w:eastAsia="宋体" w:cs="宋体"/>
          <w:color w:val="000000"/>
          <w:sz w:val="24"/>
        </w:rPr>
      </w:pPr>
      <w:r>
        <w:rPr>
          <w:rFonts w:hint="eastAsia" w:ascii="宋体" w:hAnsi="宋体" w:eastAsia="宋体" w:cs="宋体"/>
          <w:color w:val="000000"/>
          <w:sz w:val="24"/>
        </w:rPr>
        <w:t xml:space="preserve">附件</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：履约担保格式</w:t>
      </w:r>
      <w:r/>
    </w:p>
    <w:p>
      <w:pPr>
        <w:jc w:val="left"/>
        <w:keepLines w:val="0"/>
        <w:keepNext w:val="0"/>
        <w:pageBreakBefore w:val="0"/>
        <w:spacing w:line="420" w:lineRule="exact"/>
        <w:rPr>
          <w:rFonts w:hint="eastAsia" w:ascii="宋体" w:hAnsi="宋体" w:eastAsia="宋体" w:cs="宋体"/>
          <w:color w:val="000000"/>
          <w:sz w:val="24"/>
        </w:rPr>
      </w:pPr>
      <w:r>
        <w:rPr>
          <w:rFonts w:hint="eastAsia" w:ascii="宋体" w:hAnsi="宋体" w:eastAsia="宋体" w:cs="宋体"/>
          <w:color w:val="000000"/>
          <w:sz w:val="24"/>
        </w:rPr>
        <w:t xml:space="preserve">附件</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：预付款担保格式</w:t>
      </w:r>
      <w:r/>
    </w:p>
    <w:p>
      <w:pPr>
        <w:jc w:val="left"/>
        <w:keepLines w:val="0"/>
        <w:keepNext w:val="0"/>
        <w:pageBreakBefore w:val="0"/>
        <w:spacing w:line="420" w:lineRule="exact"/>
        <w:rPr>
          <w:rFonts w:hint="eastAsia" w:ascii="宋体" w:hAnsi="宋体" w:eastAsia="宋体" w:cs="宋体"/>
          <w:color w:val="000000"/>
          <w:sz w:val="24"/>
        </w:rPr>
        <w:sectPr>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宋体" w:hAnsi="宋体" w:eastAsia="宋体" w:cs="宋体"/>
          <w:color w:val="000000"/>
          <w:sz w:val="24"/>
        </w:rPr>
        <w:t xml:space="preserve">附件</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：支付担保格式</w:t>
      </w:r>
      <w:r/>
    </w:p>
    <w:p>
      <w:pPr>
        <w:spacing w:line="440" w:lineRule="exact"/>
        <w:rPr>
          <w:rFonts w:hint="eastAsia" w:ascii="宋体" w:hAnsi="宋体" w:eastAsia="宋体" w:cs="宋体"/>
          <w:color w:val="000000"/>
          <w:sz w:val="28"/>
          <w:szCs w:val="30"/>
        </w:rPr>
      </w:pPr>
      <w:r>
        <w:rPr>
          <w:rFonts w:hint="eastAsia" w:ascii="宋体" w:hAnsi="宋体" w:eastAsia="宋体" w:cs="宋体"/>
          <w:color w:val="000000"/>
          <w:sz w:val="28"/>
          <w:szCs w:val="30"/>
        </w:rPr>
        <w:t xml:space="preserve">附</w:t>
      </w:r>
      <w:bookmarkStart w:id="539" w:name="_Toc296944565"/>
      <w:r/>
      <w:bookmarkStart w:id="540" w:name="_Toc296347225"/>
      <w:r/>
      <w:bookmarkStart w:id="541" w:name="_Toc296503226"/>
      <w:r/>
      <w:bookmarkStart w:id="542" w:name="_Toc296891054"/>
      <w:r/>
      <w:bookmarkStart w:id="543" w:name="_Toc267261693"/>
      <w:r/>
      <w:bookmarkStart w:id="544" w:name="_Toc296891266"/>
      <w:r/>
      <w:bookmarkStart w:id="545" w:name="_Toc296346727"/>
      <w:r>
        <w:rPr>
          <w:rFonts w:hint="eastAsia" w:ascii="宋体" w:hAnsi="宋体" w:eastAsia="宋体" w:cs="宋体"/>
          <w:color w:val="000000"/>
          <w:sz w:val="28"/>
          <w:szCs w:val="30"/>
        </w:rPr>
        <w:t xml:space="preserve">件</w:t>
      </w:r>
      <w:r>
        <w:rPr>
          <w:rFonts w:hint="eastAsia" w:ascii="宋体" w:hAnsi="宋体" w:eastAsia="宋体" w:cs="宋体"/>
          <w:color w:val="000000"/>
          <w:sz w:val="28"/>
          <w:szCs w:val="30"/>
          <w:lang w:val="en-US" w:eastAsia="zh-CN"/>
        </w:rPr>
        <w:t xml:space="preserve">1</w:t>
      </w:r>
      <w:r>
        <w:rPr>
          <w:rFonts w:hint="eastAsia" w:ascii="宋体" w:hAnsi="宋体" w:eastAsia="宋体" w:cs="宋体"/>
          <w:color w:val="000000"/>
          <w:sz w:val="28"/>
          <w:szCs w:val="30"/>
        </w:rPr>
        <w:t xml:space="preserve">：</w:t>
      </w:r>
      <w:bookmarkEnd w:id="539"/>
      <w:r/>
      <w:bookmarkEnd w:id="540"/>
      <w:r/>
      <w:bookmarkEnd w:id="541"/>
      <w:r/>
      <w:bookmarkEnd w:id="542"/>
      <w:r/>
      <w:bookmarkEnd w:id="543"/>
      <w:r/>
      <w:bookmarkEnd w:id="544"/>
      <w:r/>
      <w:bookmarkEnd w:id="545"/>
      <w:r>
        <w:rPr>
          <w:rFonts w:hint="eastAsia" w:ascii="宋体" w:hAnsi="宋体" w:eastAsia="宋体" w:cs="宋体"/>
          <w:color w:val="000000"/>
          <w:sz w:val="28"/>
          <w:szCs w:val="30"/>
        </w:rPr>
        <w:t xml:space="preserve">    </w:t>
      </w:r>
      <w:r/>
    </w:p>
    <w:p>
      <w:pPr>
        <w:jc w:val="center"/>
        <w:spacing w:before="120" w:after="120" w:line="380" w:lineRule="exact"/>
        <w:rPr>
          <w:rFonts w:hint="eastAsia" w:ascii="宋体" w:hAnsi="宋体" w:eastAsia="宋体" w:cs="宋体"/>
          <w:color w:val="000000"/>
          <w:sz w:val="28"/>
          <w:szCs w:val="30"/>
        </w:rPr>
      </w:pPr>
      <w:r>
        <w:rPr>
          <w:rFonts w:hint="eastAsia" w:ascii="宋体" w:hAnsi="宋体" w:eastAsia="宋体" w:cs="宋体"/>
          <w:color w:val="000000"/>
          <w:sz w:val="28"/>
          <w:szCs w:val="30"/>
        </w:rPr>
        <w:t xml:space="preserve">工程质量保修书</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发包人（全称）：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沛县城市管理局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　　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p>
    <w:p>
      <w:pPr>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　　发包人和承包人根据《中华人民共和国建筑法》和《建设工程质量管理条例》，经协商一致就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智能化公厕改造项目（2025年城区公厕改造及维修工程）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（工程全称）签订工程质量保修书。</w:t>
      </w:r>
      <w:r/>
    </w:p>
    <w:p>
      <w:pPr>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　　一、工程质量保修范围和内容</w:t>
      </w:r>
      <w:r/>
    </w:p>
    <w:p>
      <w:pPr>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　　承包人在质量保修期内，按照有关法律规定和合同约定，承担工程质量保修责任。</w:t>
      </w:r>
      <w:r/>
    </w:p>
    <w:p>
      <w:pPr>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spacing w:line="320" w:lineRule="exact"/>
        <w:rPr>
          <w:rFonts w:hint="eastAsia" w:ascii="宋体" w:hAnsi="宋体" w:eastAsia="宋体" w:cs="宋体"/>
          <w:color w:val="000000"/>
          <w:sz w:val="24"/>
        </w:rPr>
      </w:pPr>
      <w:r>
        <w:rPr>
          <w:rFonts w:hint="eastAsia" w:ascii="宋体" w:hAnsi="宋体" w:eastAsia="宋体" w:cs="宋体"/>
          <w:b/>
          <w:color w:val="000000"/>
          <w:sz w:val="24"/>
        </w:rPr>
        <w:t xml:space="preserve">　　</w:t>
      </w:r>
      <w:r>
        <w:rPr>
          <w:rFonts w:hint="eastAsia" w:ascii="宋体" w:hAnsi="宋体" w:eastAsia="宋体" w:cs="宋体"/>
          <w:color w:val="000000"/>
          <w:sz w:val="24"/>
        </w:rPr>
        <w:t xml:space="preserve">二、质量保修期</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根据《建设工程质量管理条例》及有关规定，工程的质量保修期如下：</w:t>
      </w:r>
      <w:r/>
    </w:p>
    <w:p>
      <w:pPr>
        <w:numPr>
          <w:ilvl w:val="0"/>
          <w:numId w:val="6"/>
        </w:numPr>
        <w:ind w:firstLine="480"/>
        <w:spacing w:line="320" w:lineRule="exact"/>
        <w:rPr>
          <w:rFonts w:hint="eastAsia" w:ascii="宋体" w:hAnsi="宋体" w:eastAsia="宋体" w:cs="宋体"/>
          <w:sz w:val="24"/>
        </w:rPr>
      </w:pPr>
      <w:r>
        <w:rPr>
          <w:rFonts w:hint="eastAsia" w:ascii="宋体" w:hAnsi="宋体" w:eastAsia="宋体" w:cs="宋体"/>
          <w:sz w:val="24"/>
        </w:rPr>
        <w:t xml:space="preserve">地基基础工程和主体结构工程为设计文件规定的工程合理使用年限；</w:t>
      </w:r>
      <w:r/>
    </w:p>
    <w:p>
      <w:pPr>
        <w:ind w:firstLine="480"/>
        <w:spacing w:line="320" w:lineRule="exact"/>
        <w:rPr>
          <w:rFonts w:hint="eastAsia" w:ascii="宋体" w:hAnsi="宋体" w:eastAsia="宋体" w:cs="宋体"/>
          <w:sz w:val="24"/>
        </w:rPr>
      </w:pP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sz w:val="24"/>
        </w:rPr>
        <w:t xml:space="preserve">．</w:t>
      </w:r>
      <w:r>
        <w:rPr>
          <w:rFonts w:hint="eastAsia" w:ascii="宋体" w:hAnsi="宋体" w:eastAsia="宋体" w:cs="宋体"/>
          <w:color w:val="000000"/>
          <w:sz w:val="24"/>
        </w:rPr>
        <w:t xml:space="preserve">屋面防水工程、有防水要求的卫生间、房间和外墙面的防渗为</w:t>
      </w:r>
      <w:r>
        <w:rPr>
          <w:rFonts w:hint="eastAsia" w:ascii="宋体" w:hAnsi="宋体" w:eastAsia="宋体" w:cs="宋体"/>
          <w:color w:val="000000"/>
          <w:sz w:val="24"/>
          <w:u w:val="single"/>
        </w:rPr>
        <w:t xml:space="preserve"> 5 </w:t>
      </w:r>
      <w:r>
        <w:rPr>
          <w:rFonts w:hint="eastAsia" w:ascii="宋体" w:hAnsi="宋体" w:eastAsia="宋体" w:cs="宋体"/>
          <w:color w:val="000000"/>
          <w:sz w:val="24"/>
        </w:rPr>
        <w:t xml:space="preserve">年；</w:t>
      </w:r>
      <w:r/>
    </w:p>
    <w:p>
      <w:pPr>
        <w:ind w:left="420" w:firstLine="12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sz w:val="24"/>
        </w:rPr>
        <w:t xml:space="preserve">．</w:t>
      </w:r>
      <w:r>
        <w:rPr>
          <w:rFonts w:hint="eastAsia" w:ascii="宋体" w:hAnsi="宋体" w:eastAsia="宋体" w:cs="宋体"/>
          <w:color w:val="000000"/>
          <w:sz w:val="24"/>
        </w:rPr>
        <w:t xml:space="preserve">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420" w:firstLine="12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sz w:val="24"/>
        </w:rPr>
        <w:t xml:space="preserve">．</w:t>
      </w:r>
      <w:r>
        <w:rPr>
          <w:rFonts w:hint="eastAsia" w:ascii="宋体" w:hAnsi="宋体" w:eastAsia="宋体" w:cs="宋体"/>
          <w:color w:val="000000"/>
          <w:sz w:val="24"/>
        </w:rPr>
        <w:t xml:space="preserve">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420" w:firstLine="12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sz w:val="24"/>
        </w:rPr>
        <w:t xml:space="preserve">．</w:t>
      </w:r>
      <w:r>
        <w:rPr>
          <w:rFonts w:hint="eastAsia" w:ascii="宋体" w:hAnsi="宋体" w:eastAsia="宋体" w:cs="宋体"/>
          <w:color w:val="000000"/>
          <w:sz w:val="24"/>
        </w:rPr>
        <w:t xml:space="preserve">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420" w:firstLine="12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sz w:val="24"/>
        </w:rPr>
        <w:t xml:space="preserve">．</w:t>
      </w:r>
      <w:r>
        <w:rPr>
          <w:rFonts w:hint="eastAsia" w:ascii="宋体" w:hAnsi="宋体" w:eastAsia="宋体" w:cs="宋体"/>
          <w:color w:val="000000"/>
          <w:sz w:val="24"/>
        </w:rPr>
        <w:t xml:space="preserve">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420" w:firstLine="12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sz w:val="24"/>
        </w:rPr>
        <w:t xml:space="preserve">．</w:t>
      </w:r>
      <w:r>
        <w:rPr>
          <w:rFonts w:hint="eastAsia" w:ascii="宋体" w:hAnsi="宋体" w:eastAsia="宋体" w:cs="宋体"/>
          <w:color w:val="000000"/>
          <w:sz w:val="24"/>
        </w:rPr>
        <w:t xml:space="preserve">其他项目保修期限约定如下：</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　　质量保修期自工程竣工验收合格之日起计算。</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三、缺陷责任期</w:t>
      </w:r>
      <w:r/>
    </w:p>
    <w:p>
      <w:pPr>
        <w:ind w:left="210" w:firstLine="24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工程缺陷责任期为 </w:t>
      </w:r>
      <w:r>
        <w:rPr>
          <w:rFonts w:hint="eastAsia" w:ascii="宋体" w:hAnsi="宋体" w:eastAsia="宋体" w:cs="宋体"/>
          <w:b w:val="0"/>
          <w:bCs w:val="0"/>
          <w:color w:val="auto"/>
          <w:sz w:val="24"/>
          <w:u w:val="single"/>
        </w:rPr>
        <w:t xml:space="preserve">24</w:t>
      </w:r>
      <w:r>
        <w:rPr>
          <w:rFonts w:hint="eastAsia" w:ascii="宋体" w:hAnsi="宋体" w:eastAsia="宋体" w:cs="宋体"/>
          <w:color w:val="000000"/>
          <w:sz w:val="24"/>
        </w:rPr>
        <w:t xml:space="preserve">个月，缺陷责任期自工程实际竣工之日起计算。单位工程先于全部工程进行验收，单位工程缺陷责任期自单位</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工程验收合格之日起算。</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缺陷责任期终止后，发包人应退还剩余的质量保证金。</w:t>
      </w:r>
      <w:r/>
    </w:p>
    <w:p>
      <w:pPr>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    四、质量保修责任</w:t>
      </w:r>
      <w:r/>
    </w:p>
    <w:p>
      <w:pPr>
        <w:ind w:left="210" w:firstLine="372"/>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sz w:val="24"/>
        </w:rPr>
        <w:t xml:space="preserve">．</w:t>
      </w:r>
      <w:r>
        <w:rPr>
          <w:rFonts w:hint="eastAsia" w:ascii="宋体" w:hAnsi="宋体" w:eastAsia="宋体" w:cs="宋体"/>
          <w:color w:val="000000"/>
          <w:sz w:val="24"/>
        </w:rPr>
        <w:t xml:space="preserve">属于保修范围、内容的项目，承包人应当在接到保修通知之日起7天内派人保修。承包人不在约定期限内派人保修的，发包人可以委托他人修理。</w:t>
      </w:r>
      <w:r/>
    </w:p>
    <w:p>
      <w:pPr>
        <w:ind w:left="105" w:firstLine="491"/>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sz w:val="24"/>
        </w:rPr>
        <w:t xml:space="preserve">．</w:t>
      </w:r>
      <w:r>
        <w:rPr>
          <w:rFonts w:hint="eastAsia" w:ascii="宋体" w:hAnsi="宋体" w:eastAsia="宋体" w:cs="宋体"/>
          <w:color w:val="000000"/>
          <w:sz w:val="24"/>
        </w:rPr>
        <w:t xml:space="preserve">发生紧急事故需抢修的，承包人在接到事故通知后，应当立即到达事故现场抢修。</w:t>
      </w:r>
      <w:r/>
    </w:p>
    <w:p>
      <w:pPr>
        <w:ind w:left="105" w:firstLine="491"/>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sz w:val="24"/>
        </w:rPr>
        <w:t xml:space="preserve">．</w:t>
      </w:r>
      <w:r>
        <w:rPr>
          <w:rFonts w:hint="eastAsia" w:ascii="宋体" w:hAnsi="宋体" w:eastAsia="宋体" w:cs="宋体"/>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sz w:val="24"/>
        </w:rPr>
        <w:t xml:space="preserve">．</w:t>
      </w:r>
      <w:r>
        <w:rPr>
          <w:rFonts w:hint="eastAsia" w:ascii="宋体" w:hAnsi="宋体" w:eastAsia="宋体" w:cs="宋体"/>
          <w:color w:val="000000"/>
          <w:sz w:val="24"/>
        </w:rPr>
        <w:t xml:space="preserve">质量保修完成后，由发包人组织验收。</w:t>
      </w:r>
      <w:r/>
    </w:p>
    <w:p>
      <w:pPr>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　　五、保修费用</w:t>
      </w:r>
      <w:r/>
    </w:p>
    <w:p>
      <w:pPr>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　　保修费用由造成质量缺陷的责任方承担。</w:t>
      </w:r>
      <w:r/>
    </w:p>
    <w:p>
      <w:pPr>
        <w:ind w:firstLine="600"/>
        <w:jc w:val="left"/>
        <w:spacing w:line="320" w:lineRule="exact"/>
        <w:rPr>
          <w:rFonts w:hint="eastAsia" w:ascii="宋体" w:hAnsi="宋体" w:eastAsia="宋体" w:cs="宋体"/>
          <w:color w:val="000000"/>
          <w:sz w:val="24"/>
        </w:rPr>
      </w:pPr>
      <w:r>
        <w:rPr>
          <w:rFonts w:hint="eastAsia" w:ascii="宋体" w:hAnsi="宋体" w:eastAsia="宋体" w:cs="宋体"/>
          <w:b/>
          <w:color w:val="000000"/>
          <w:sz w:val="24"/>
        </w:rPr>
        <w:t xml:space="preserve">六</w:t>
      </w:r>
      <w:r>
        <w:rPr>
          <w:rFonts w:hint="eastAsia" w:ascii="宋体" w:hAnsi="宋体" w:eastAsia="宋体" w:cs="宋体"/>
          <w:color w:val="000000"/>
          <w:sz w:val="24"/>
        </w:rPr>
        <w:t xml:space="preserve">、双方约定的其他工程质量保修事项：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56"/>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firstLine="42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发包人(公章)：</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承包人(公章)：</w:t>
      </w:r>
      <w:r>
        <w:rPr>
          <w:rFonts w:hint="eastAsia" w:ascii="宋体" w:hAnsi="宋体" w:eastAsia="宋体" w:cs="宋体"/>
          <w:color w:val="000000"/>
          <w:sz w:val="24"/>
          <w:u w:val="single"/>
        </w:rPr>
        <w:t xml:space="preserve">                     </w:t>
      </w:r>
      <w:r/>
    </w:p>
    <w:p>
      <w:pPr>
        <w:ind w:left="6000" w:hanging="6000"/>
        <w:spacing w:line="320" w:lineRule="exact"/>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地  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none"/>
          <w:lang w:val="en-US" w:eastAsia="zh-CN"/>
        </w:rPr>
        <w:t xml:space="preserve">        </w:t>
      </w:r>
      <w:r>
        <w:rPr>
          <w:rFonts w:hint="eastAsia" w:ascii="宋体" w:hAnsi="宋体" w:eastAsia="宋体" w:cs="宋体"/>
          <w:color w:val="000000"/>
          <w:sz w:val="24"/>
        </w:rPr>
        <w:t xml:space="preserve">地  址：</w:t>
      </w:r>
      <w:r>
        <w:rPr>
          <w:rFonts w:hint="eastAsia" w:ascii="宋体" w:hAnsi="宋体" w:eastAsia="宋体" w:cs="宋体"/>
          <w:color w:val="000000"/>
          <w:sz w:val="24"/>
          <w:u w:val="single"/>
          <w:lang w:val="en-US" w:eastAsia="zh-CN"/>
        </w:rPr>
        <w:t xml:space="preserve">                   </w:t>
      </w:r>
      <w:r/>
    </w:p>
    <w:p>
      <w:pPr>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法定代表人(签字)：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法定代表人(签字)：</w:t>
      </w:r>
      <w:r>
        <w:rPr>
          <w:rFonts w:hint="eastAsia" w:ascii="宋体" w:hAnsi="宋体" w:eastAsia="宋体" w:cs="宋体"/>
          <w:color w:val="000000"/>
          <w:sz w:val="24"/>
          <w:u w:val="single"/>
        </w:rPr>
        <w:t xml:space="preserve">                 </w:t>
      </w:r>
      <w:r/>
    </w:p>
    <w:p>
      <w:pPr>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委托代理人(签字)：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委托代理人(签字)：</w:t>
      </w:r>
      <w:r>
        <w:rPr>
          <w:rFonts w:hint="eastAsia" w:ascii="宋体" w:hAnsi="宋体" w:eastAsia="宋体" w:cs="宋体"/>
          <w:color w:val="000000"/>
          <w:sz w:val="24"/>
          <w:u w:val="single"/>
        </w:rPr>
        <w:t xml:space="preserve">                 </w:t>
      </w:r>
      <w:r/>
    </w:p>
    <w:p>
      <w:pPr>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电  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电  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p>
    <w:p>
      <w:pPr>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传  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传  真：</w:t>
      </w:r>
      <w:r>
        <w:rPr>
          <w:rFonts w:hint="eastAsia" w:ascii="宋体" w:hAnsi="宋体" w:eastAsia="宋体" w:cs="宋体"/>
          <w:color w:val="000000"/>
          <w:sz w:val="24"/>
          <w:u w:val="single"/>
        </w:rPr>
        <w:t xml:space="preserve">                           </w:t>
      </w:r>
      <w:r/>
    </w:p>
    <w:p>
      <w:pPr>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开户银行：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开户银行：</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p>
    <w:p>
      <w:pPr>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账  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账  号：</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p>
    <w:p>
      <w:pPr>
        <w:spacing w:line="320" w:lineRule="exact"/>
        <w:rPr>
          <w:rFonts w:hint="eastAsia" w:ascii="宋体" w:hAnsi="宋体" w:eastAsia="宋体" w:cs="宋体"/>
          <w:color w:val="000000"/>
          <w:sz w:val="28"/>
          <w:szCs w:val="30"/>
        </w:rPr>
      </w:pP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邮政编码：</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8"/>
          <w:szCs w:val="30"/>
          <w:u w:val="single"/>
        </w:rPr>
        <w:t xml:space="preserve">    </w:t>
      </w:r>
      <w:r/>
    </w:p>
    <w:p>
      <w:pPr>
        <w:spacing w:line="440" w:lineRule="exact"/>
        <w:rPr>
          <w:rFonts w:hint="eastAsia" w:ascii="宋体" w:hAnsi="宋体" w:eastAsia="宋体" w:cs="宋体"/>
          <w:color w:val="000000"/>
          <w:sz w:val="28"/>
          <w:szCs w:val="30"/>
        </w:rPr>
      </w:pPr>
      <w:r>
        <w:rPr>
          <w:rFonts w:hint="eastAsia" w:ascii="宋体" w:hAnsi="宋体" w:eastAsia="宋体" w:cs="宋体"/>
          <w:color w:val="000000"/>
          <w:sz w:val="28"/>
          <w:szCs w:val="30"/>
        </w:rPr>
        <w:br w:type="page" w:clear="all"/>
      </w:r>
      <w:r>
        <w:rPr>
          <w:rFonts w:hint="eastAsia" w:ascii="宋体" w:hAnsi="宋体" w:eastAsia="宋体" w:cs="宋体"/>
          <w:color w:val="000000"/>
          <w:sz w:val="28"/>
          <w:szCs w:val="30"/>
        </w:rPr>
        <w:t xml:space="preserve">附</w:t>
      </w:r>
      <w:bookmarkStart w:id="546" w:name="_Toc296944566"/>
      <w:r/>
      <w:bookmarkStart w:id="547" w:name="_Toc267261698"/>
      <w:r/>
      <w:bookmarkStart w:id="548" w:name="_Toc296346728"/>
      <w:r/>
      <w:bookmarkStart w:id="549" w:name="_Toc296347226"/>
      <w:r/>
      <w:bookmarkStart w:id="550" w:name="_Toc296503227"/>
      <w:r/>
      <w:bookmarkStart w:id="551" w:name="_Toc296891055"/>
      <w:r/>
      <w:bookmarkStart w:id="552" w:name="_Toc296891267"/>
      <w:r>
        <w:rPr>
          <w:rFonts w:hint="eastAsia" w:ascii="宋体" w:hAnsi="宋体" w:eastAsia="宋体" w:cs="宋体"/>
          <w:color w:val="000000"/>
          <w:sz w:val="28"/>
          <w:szCs w:val="30"/>
        </w:rPr>
        <w:t xml:space="preserve">件</w:t>
      </w:r>
      <w:r>
        <w:rPr>
          <w:rFonts w:hint="eastAsia" w:ascii="宋体" w:hAnsi="宋体" w:eastAsia="宋体" w:cs="宋体"/>
          <w:color w:val="000000"/>
          <w:sz w:val="28"/>
          <w:szCs w:val="30"/>
          <w:lang w:val="en-US" w:eastAsia="zh-CN"/>
        </w:rPr>
        <w:t xml:space="preserve">2</w:t>
      </w:r>
      <w:r>
        <w:rPr>
          <w:rFonts w:hint="eastAsia" w:ascii="宋体" w:hAnsi="宋体" w:eastAsia="宋体" w:cs="宋体"/>
          <w:color w:val="000000"/>
          <w:sz w:val="28"/>
          <w:szCs w:val="30"/>
        </w:rPr>
        <w:t xml:space="preserve">：</w:t>
      </w:r>
      <w:bookmarkEnd w:id="546"/>
      <w:r/>
      <w:bookmarkEnd w:id="547"/>
      <w:r/>
      <w:bookmarkEnd w:id="548"/>
      <w:r/>
      <w:bookmarkEnd w:id="549"/>
      <w:r/>
      <w:bookmarkEnd w:id="550"/>
      <w:r/>
      <w:bookmarkEnd w:id="551"/>
      <w:r/>
      <w:bookmarkEnd w:id="552"/>
      <w:r/>
      <w:r/>
    </w:p>
    <w:p>
      <w:pPr>
        <w:jc w:val="center"/>
        <w:spacing w:before="120" w:after="120" w:line="440" w:lineRule="exact"/>
        <w:rPr>
          <w:rFonts w:hint="eastAsia" w:ascii="宋体" w:hAnsi="宋体" w:eastAsia="宋体" w:cs="宋体"/>
          <w:color w:val="000000"/>
          <w:sz w:val="28"/>
          <w:szCs w:val="30"/>
        </w:rPr>
      </w:pPr>
      <w:r>
        <w:rPr>
          <w:rFonts w:hint="eastAsia" w:ascii="宋体" w:hAnsi="宋体" w:eastAsia="宋体" w:cs="宋体"/>
          <w:color w:val="000000"/>
          <w:sz w:val="28"/>
          <w:szCs w:val="30"/>
        </w:rPr>
        <w:t xml:space="preserve">承包人用于本工程施工的机械设备表</w:t>
      </w:r>
      <w:r/>
    </w:p>
    <w:tbl>
      <w:tblPr>
        <w:tblStyle w:val="1132"/>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93"/>
        <w:gridCol w:w="1095"/>
        <w:gridCol w:w="738"/>
        <w:gridCol w:w="880"/>
        <w:gridCol w:w="1020"/>
        <w:gridCol w:w="1480"/>
        <w:gridCol w:w="1020"/>
        <w:gridCol w:w="921"/>
      </w:tblGrid>
      <w:tr>
        <w:trPr>
          <w:jc w:val="center"/>
        </w:trPr>
        <w:tc>
          <w:tcPr>
            <w:tcBorders>
              <w:top w:val="single" w:color="auto" w:sz="12" w:space="0"/>
              <w:bottom w:val="single" w:color="auto" w:sz="6" w:space="0"/>
            </w:tcBorders>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序号</w:t>
            </w:r>
            <w:r/>
          </w:p>
        </w:tc>
        <w:tc>
          <w:tcPr>
            <w:tcBorders>
              <w:top w:val="single" w:color="auto" w:sz="12" w:space="0"/>
              <w:bottom w:val="single" w:color="auto" w:sz="6" w:space="0"/>
            </w:tcBorders>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机械或设备名称</w:t>
            </w:r>
            <w:r/>
          </w:p>
        </w:tc>
        <w:tc>
          <w:tcPr>
            <w:tcBorders>
              <w:top w:val="single" w:color="auto" w:sz="12" w:space="0"/>
              <w:bottom w:val="single" w:color="auto" w:sz="6" w:space="0"/>
            </w:tcBorders>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规格型号</w:t>
            </w:r>
            <w:r/>
          </w:p>
        </w:tc>
        <w:tc>
          <w:tcPr>
            <w:tcBorders>
              <w:top w:val="single" w:color="auto" w:sz="12" w:space="0"/>
              <w:bottom w:val="single" w:color="auto" w:sz="6" w:space="0"/>
            </w:tcBorders>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数量</w:t>
            </w:r>
            <w:r/>
          </w:p>
        </w:tc>
        <w:tc>
          <w:tcPr>
            <w:tcBorders>
              <w:top w:val="single" w:color="auto" w:sz="12" w:space="0"/>
              <w:bottom w:val="single" w:color="auto" w:sz="6" w:space="0"/>
            </w:tcBorders>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产地</w:t>
            </w:r>
            <w:r/>
          </w:p>
        </w:tc>
        <w:tc>
          <w:tcPr>
            <w:tcBorders>
              <w:top w:val="single" w:color="auto" w:sz="12" w:space="0"/>
              <w:bottom w:val="single" w:color="auto" w:sz="6" w:space="0"/>
            </w:tcBorders>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制造年份</w:t>
            </w:r>
            <w:r/>
          </w:p>
        </w:tc>
        <w:tc>
          <w:tcPr>
            <w:tcBorders>
              <w:top w:val="single" w:color="auto" w:sz="12" w:space="0"/>
              <w:bottom w:val="single" w:color="auto" w:sz="6" w:space="0"/>
            </w:tcBorders>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额定功率(kW)</w:t>
            </w:r>
            <w:r/>
          </w:p>
        </w:tc>
        <w:tc>
          <w:tcPr>
            <w:tcBorders>
              <w:top w:val="single" w:color="auto" w:sz="12" w:space="0"/>
              <w:bottom w:val="single" w:color="auto" w:sz="6" w:space="0"/>
            </w:tcBorders>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生产能力</w:t>
            </w:r>
            <w:r/>
          </w:p>
        </w:tc>
        <w:tc>
          <w:tcPr>
            <w:tcBorders>
              <w:top w:val="single" w:color="auto" w:sz="12" w:space="0"/>
              <w:bottom w:val="single" w:color="auto" w:sz="6" w:space="0"/>
            </w:tcBorders>
            <w:tcW w:w="921"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备注</w:t>
            </w:r>
            <w:r/>
          </w:p>
        </w:tc>
      </w:tr>
      <w:tr>
        <w:trPr>
          <w:jc w:val="center"/>
          <w:trHeight w:val="567" w:hRule="exact"/>
        </w:trPr>
        <w:tc>
          <w:tcPr>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c>
          <w:tcPr>
            <w:tcW w:w="921"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r>
      <w:tr>
        <w:trPr>
          <w:jc w:val="center"/>
          <w:trHeight w:val="567" w:hRule="exact"/>
        </w:trPr>
        <w:tc>
          <w:tcPr>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c>
          <w:tcPr>
            <w:tcW w:w="921"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r>
      <w:tr>
        <w:trPr>
          <w:jc w:val="center"/>
          <w:trHeight w:val="567" w:hRule="exact"/>
        </w:trPr>
        <w:tc>
          <w:tcPr>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c>
          <w:tcPr>
            <w:tcW w:w="921"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r>
      <w:tr>
        <w:trPr>
          <w:jc w:val="center"/>
          <w:trHeight w:val="567" w:hRule="exact"/>
        </w:trPr>
        <w:tc>
          <w:tcPr>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c>
          <w:tcPr>
            <w:tcW w:w="921"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r>
      <w:tr>
        <w:trPr>
          <w:jc w:val="center"/>
          <w:trHeight w:val="567" w:hRule="exact"/>
        </w:trPr>
        <w:tc>
          <w:tcPr>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c>
          <w:tcPr>
            <w:tcW w:w="921"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r>
      <w:tr>
        <w:trPr>
          <w:jc w:val="center"/>
          <w:trHeight w:val="567" w:hRule="exact"/>
        </w:trPr>
        <w:tc>
          <w:tcPr>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c>
          <w:tcPr>
            <w:tcW w:w="921"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r>
      <w:tr>
        <w:trPr>
          <w:jc w:val="center"/>
          <w:trHeight w:val="567" w:hRule="exact"/>
        </w:trPr>
        <w:tc>
          <w:tcPr>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c>
          <w:tcPr>
            <w:tcW w:w="921"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r>
      <w:tr>
        <w:trPr>
          <w:jc w:val="center"/>
          <w:trHeight w:val="567" w:hRule="exact"/>
        </w:trPr>
        <w:tc>
          <w:tcPr>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c>
          <w:tcPr>
            <w:tcW w:w="921"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r>
      <w:tr>
        <w:trPr>
          <w:jc w:val="center"/>
          <w:trHeight w:val="567" w:hRule="exact"/>
        </w:trPr>
        <w:tc>
          <w:tcPr>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c>
          <w:tcPr>
            <w:tcW w:w="921"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r>
      <w:tr>
        <w:trPr>
          <w:jc w:val="center"/>
          <w:trHeight w:val="567" w:hRule="exact"/>
        </w:trPr>
        <w:tc>
          <w:tcPr>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c>
          <w:tcPr>
            <w:tcW w:w="921"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r>
      <w:tr>
        <w:trPr>
          <w:jc w:val="center"/>
          <w:trHeight w:val="567" w:hRule="exact"/>
        </w:trPr>
        <w:tc>
          <w:tcPr>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c>
          <w:tcPr>
            <w:tcW w:w="921"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r>
      <w:tr>
        <w:trPr>
          <w:jc w:val="center"/>
          <w:trHeight w:val="567" w:hRule="exact"/>
        </w:trPr>
        <w:tc>
          <w:tcPr>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c>
          <w:tcPr>
            <w:tcW w:w="921"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r>
      <w:tr>
        <w:trPr>
          <w:jc w:val="center"/>
          <w:trHeight w:val="567" w:hRule="exact"/>
        </w:trPr>
        <w:tc>
          <w:tcPr>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c>
          <w:tcPr>
            <w:tcW w:w="921"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r>
      <w:tr>
        <w:trPr>
          <w:jc w:val="center"/>
          <w:trHeight w:val="567" w:hRule="exact"/>
        </w:trPr>
        <w:tc>
          <w:tcPr>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c>
          <w:tcPr>
            <w:tcW w:w="921"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r>
      <w:tr>
        <w:trPr>
          <w:jc w:val="center"/>
          <w:trHeight w:val="567" w:hRule="exact"/>
        </w:trPr>
        <w:tc>
          <w:tcPr>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c>
          <w:tcPr>
            <w:tcW w:w="921"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r>
      <w:tr>
        <w:trPr>
          <w:jc w:val="center"/>
          <w:trHeight w:val="567" w:hRule="exact"/>
        </w:trPr>
        <w:tc>
          <w:tcPr>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c>
          <w:tcPr>
            <w:tcW w:w="921"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r>
      <w:tr>
        <w:trPr>
          <w:jc w:val="center"/>
          <w:trHeight w:val="567" w:hRule="exact"/>
        </w:trPr>
        <w:tc>
          <w:tcPr>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c>
          <w:tcPr>
            <w:tcW w:w="921"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r>
      <w:tr>
        <w:trPr>
          <w:jc w:val="center"/>
          <w:trHeight w:val="567" w:hRule="exact"/>
        </w:trPr>
        <w:tc>
          <w:tcPr>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c>
          <w:tcPr>
            <w:tcW w:w="921"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r>
      <w:tr>
        <w:trPr>
          <w:jc w:val="center"/>
          <w:trHeight w:val="567" w:hRule="exact"/>
        </w:trPr>
        <w:tc>
          <w:tcPr>
            <w:tcW w:w="1162"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93"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95"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738"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8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480" w:type="dxa"/>
            <w:vAlign w:val="top"/>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020"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c>
          <w:tcPr>
            <w:tcW w:w="921" w:type="dxa"/>
            <w:vAlign w:val="top"/>
            <w:textDirection w:val="lrTb"/>
            <w:noWrap w:val="false"/>
          </w:tcPr>
          <w:p>
            <w:pPr>
              <w:jc w:val="center"/>
              <w:rPr>
                <w:rFonts w:hint="eastAsia" w:ascii="宋体" w:hAnsi="宋体" w:eastAsia="宋体" w:cs="宋体"/>
                <w:color w:val="000000"/>
                <w:sz w:val="28"/>
                <w:szCs w:val="30"/>
              </w:rPr>
            </w:pPr>
            <w:r>
              <w:rPr>
                <w:rFonts w:hint="eastAsia" w:ascii="宋体" w:hAnsi="宋体" w:eastAsia="宋体" w:cs="宋体"/>
                <w:color w:val="000000"/>
                <w:sz w:val="28"/>
                <w:szCs w:val="30"/>
              </w:rPr>
            </w:r>
            <w:r/>
          </w:p>
        </w:tc>
      </w:tr>
    </w:tbl>
    <w:p>
      <w:pPr>
        <w:spacing w:line="440" w:lineRule="exact"/>
        <w:rPr>
          <w:rFonts w:hint="eastAsia" w:ascii="宋体" w:hAnsi="宋体" w:eastAsia="宋体" w:cs="宋体"/>
          <w:color w:val="000000"/>
          <w:sz w:val="28"/>
          <w:szCs w:val="30"/>
        </w:rPr>
      </w:pPr>
      <w:r>
        <w:rPr>
          <w:rFonts w:hint="eastAsia" w:ascii="宋体" w:hAnsi="宋体" w:eastAsia="宋体" w:cs="宋体"/>
          <w:color w:val="000000"/>
          <w:sz w:val="28"/>
          <w:szCs w:val="30"/>
        </w:rPr>
      </w:r>
      <w:r/>
    </w:p>
    <w:p>
      <w:pPr>
        <w:spacing w:line="440" w:lineRule="exact"/>
        <w:rPr>
          <w:rFonts w:hint="eastAsia" w:ascii="宋体" w:hAnsi="宋体" w:eastAsia="宋体" w:cs="宋体"/>
          <w:color w:val="000000"/>
          <w:sz w:val="28"/>
          <w:szCs w:val="30"/>
        </w:rPr>
      </w:pPr>
      <w:r>
        <w:rPr>
          <w:rFonts w:hint="eastAsia" w:ascii="宋体" w:hAnsi="宋体" w:eastAsia="宋体" w:cs="宋体"/>
          <w:color w:val="000000"/>
          <w:sz w:val="28"/>
          <w:szCs w:val="30"/>
        </w:rPr>
      </w:r>
      <w:r/>
    </w:p>
    <w:p>
      <w:pPr>
        <w:spacing w:line="440" w:lineRule="exact"/>
        <w:rPr>
          <w:rFonts w:hint="eastAsia" w:ascii="宋体" w:hAnsi="宋体" w:eastAsia="宋体" w:cs="宋体"/>
          <w:color w:val="000000"/>
          <w:sz w:val="28"/>
          <w:szCs w:val="30"/>
        </w:rPr>
      </w:pPr>
      <w:r>
        <w:rPr>
          <w:rFonts w:hint="eastAsia" w:ascii="宋体" w:hAnsi="宋体" w:eastAsia="宋体" w:cs="宋体"/>
          <w:color w:val="000000"/>
          <w:sz w:val="28"/>
          <w:szCs w:val="30"/>
        </w:rPr>
        <w:t xml:space="preserve">附</w:t>
      </w:r>
      <w:bookmarkStart w:id="553" w:name="_Toc296347227"/>
      <w:r/>
      <w:bookmarkStart w:id="554" w:name="_Toc267261699"/>
      <w:r/>
      <w:bookmarkStart w:id="555" w:name="_Toc296891056"/>
      <w:r/>
      <w:bookmarkStart w:id="556" w:name="_Toc296503228"/>
      <w:r/>
      <w:bookmarkStart w:id="557" w:name="_Toc296944567"/>
      <w:r/>
      <w:bookmarkStart w:id="558" w:name="_Toc296346729"/>
      <w:r/>
      <w:bookmarkStart w:id="559" w:name="_Toc296891268"/>
      <w:r>
        <w:rPr>
          <w:rFonts w:hint="eastAsia" w:ascii="宋体" w:hAnsi="宋体" w:eastAsia="宋体" w:cs="宋体"/>
          <w:color w:val="000000"/>
          <w:sz w:val="28"/>
          <w:szCs w:val="30"/>
        </w:rPr>
        <w:t xml:space="preserve">件</w:t>
      </w:r>
      <w:r>
        <w:rPr>
          <w:rFonts w:hint="eastAsia" w:ascii="宋体" w:hAnsi="宋体" w:eastAsia="宋体" w:cs="宋体"/>
          <w:color w:val="000000"/>
          <w:sz w:val="28"/>
          <w:szCs w:val="30"/>
          <w:lang w:val="en-US" w:eastAsia="zh-CN"/>
        </w:rPr>
        <w:t xml:space="preserve">3</w:t>
      </w:r>
      <w:r>
        <w:rPr>
          <w:rFonts w:hint="eastAsia" w:ascii="宋体" w:hAnsi="宋体" w:eastAsia="宋体" w:cs="宋体"/>
          <w:color w:val="000000"/>
          <w:sz w:val="28"/>
          <w:szCs w:val="30"/>
        </w:rPr>
        <w:t xml:space="preserve">：</w:t>
      </w:r>
      <w:bookmarkEnd w:id="553"/>
      <w:r/>
      <w:bookmarkEnd w:id="554"/>
      <w:r/>
      <w:bookmarkEnd w:id="555"/>
      <w:r/>
      <w:bookmarkEnd w:id="556"/>
      <w:r/>
      <w:bookmarkEnd w:id="557"/>
      <w:r/>
      <w:bookmarkEnd w:id="558"/>
      <w:r/>
      <w:bookmarkEnd w:id="559"/>
      <w:r/>
      <w:r/>
    </w:p>
    <w:p>
      <w:pPr>
        <w:jc w:val="center"/>
        <w:spacing w:before="120" w:after="120" w:line="440" w:lineRule="exact"/>
        <w:rPr>
          <w:rFonts w:hint="eastAsia" w:ascii="宋体" w:hAnsi="宋体" w:eastAsia="宋体" w:cs="宋体"/>
          <w:color w:val="000000"/>
          <w:sz w:val="28"/>
          <w:szCs w:val="30"/>
        </w:rPr>
      </w:pPr>
      <w:r>
        <w:rPr>
          <w:rFonts w:hint="eastAsia" w:ascii="宋体" w:hAnsi="宋体" w:eastAsia="宋体" w:cs="宋体"/>
          <w:color w:val="000000"/>
          <w:sz w:val="28"/>
          <w:szCs w:val="30"/>
        </w:rPr>
        <w:t xml:space="preserve">承包人主要施工管理人员表</w:t>
      </w:r>
      <w:r/>
    </w:p>
    <w:tbl>
      <w:tblPr>
        <w:tblStyle w:val="1132"/>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204"/>
        <w:gridCol w:w="1515"/>
        <w:gridCol w:w="967"/>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名    称</w:t>
            </w:r>
            <w:r/>
          </w:p>
        </w:tc>
        <w:tc>
          <w:tcPr>
            <w:tcBorders>
              <w:top w:val="single" w:color="auto" w:sz="12" w:space="0"/>
              <w:bottom w:val="single" w:color="auto" w:sz="6" w:space="0"/>
            </w:tcBorders>
            <w:tcW w:w="1204"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姓名</w:t>
            </w:r>
            <w:r/>
          </w:p>
        </w:tc>
        <w:tc>
          <w:tcPr>
            <w:tcBorders>
              <w:top w:val="single" w:color="auto" w:sz="12" w:space="0"/>
              <w:bottom w:val="single" w:color="auto" w:sz="6" w:space="0"/>
            </w:tcBorders>
            <w:tcW w:w="1515"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职务</w:t>
            </w:r>
            <w:r/>
          </w:p>
        </w:tc>
        <w:tc>
          <w:tcPr>
            <w:tcBorders>
              <w:top w:val="single" w:color="auto" w:sz="12" w:space="0"/>
              <w:bottom w:val="single" w:color="auto" w:sz="6" w:space="0"/>
            </w:tcBorders>
            <w:tcW w:w="967"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项目主管</w:t>
            </w:r>
            <w:r/>
          </w:p>
        </w:tc>
        <w:tc>
          <w:tcPr>
            <w:tcBorders>
              <w:top w:val="none" w:color="000000" w:sz="4" w:space="0"/>
            </w:tcBorders>
            <w:tcW w:w="1204" w:type="dxa"/>
            <w:vAlign w:val="top"/>
            <w:textDirection w:val="lrTb"/>
            <w:noWrap w:val="false"/>
          </w:tcPr>
          <w:p>
            <w:pPr>
              <w:pStyle w:val="1312"/>
              <w:ind w:left="215"/>
              <w:spacing w:before="192" w:line="222" w:lineRule="auto"/>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Borders>
              <w:top w:val="none" w:color="000000" w:sz="4" w:space="0"/>
            </w:tcBorders>
            <w:tcW w:w="1515" w:type="dxa"/>
            <w:vAlign w:val="top"/>
            <w:textDirection w:val="lrTb"/>
            <w:noWrap w:val="false"/>
          </w:tcPr>
          <w:p>
            <w:pPr>
              <w:pStyle w:val="1312"/>
              <w:ind w:left="259"/>
              <w:spacing w:before="192" w:line="230" w:lineRule="auto"/>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Borders>
              <w:top w:val="none" w:color="000000" w:sz="4" w:space="0"/>
            </w:tcBorders>
            <w:tcW w:w="967" w:type="dxa"/>
            <w:vAlign w:val="top"/>
            <w:textDirection w:val="lrTb"/>
            <w:noWrap w:val="false"/>
          </w:tcPr>
          <w:p>
            <w:pPr>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Borders>
              <w:top w:val="none" w:color="000000" w:sz="4" w:space="0"/>
            </w:tcBorders>
            <w:tcW w:w="4252" w:type="dxa"/>
            <w:vAlign w:val="top"/>
            <w:textDirection w:val="lrTb"/>
            <w:noWrap w:val="false"/>
          </w:tcPr>
          <w:p>
            <w:pPr>
              <w:pStyle w:val="1312"/>
              <w:ind w:left="1307"/>
              <w:spacing w:before="192" w:line="221" w:lineRule="auto"/>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204" w:type="dxa"/>
            <w:vAlign w:val="top"/>
            <w:textDirection w:val="lrTb"/>
            <w:noWrap w:val="false"/>
          </w:tcPr>
          <w:p>
            <w:pPr>
              <w:pStyle w:val="1312"/>
              <w:ind w:left="321"/>
              <w:spacing w:before="195" w:line="220" w:lineRule="auto"/>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515" w:type="dxa"/>
            <w:vAlign w:val="top"/>
            <w:textDirection w:val="lrTb"/>
            <w:noWrap w:val="false"/>
          </w:tcPr>
          <w:p>
            <w:pPr>
              <w:pStyle w:val="1312"/>
              <w:ind w:left="33"/>
              <w:spacing w:before="195" w:line="220" w:lineRule="auto"/>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967" w:type="dxa"/>
            <w:vAlign w:val="top"/>
            <w:textDirection w:val="lrTb"/>
            <w:noWrap w:val="false"/>
          </w:tcPr>
          <w:p>
            <w:pPr>
              <w:pStyle w:val="1312"/>
              <w:ind w:left="97"/>
              <w:spacing w:before="195" w:line="220" w:lineRule="auto"/>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4252" w:type="dxa"/>
            <w:vAlign w:val="top"/>
            <w:textDirection w:val="lrTb"/>
            <w:noWrap w:val="false"/>
          </w:tcPr>
          <w:p>
            <w:pPr>
              <w:pStyle w:val="1312"/>
              <w:ind w:left="1307"/>
              <w:spacing w:before="195" w:line="221" w:lineRule="auto"/>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其他人员</w:t>
            </w:r>
            <w:r/>
          </w:p>
        </w:tc>
        <w:tc>
          <w:tcPr>
            <w:tcW w:w="1204"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515"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967"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4252"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204"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515"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967"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4252"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项目经理</w:t>
            </w:r>
            <w:r/>
          </w:p>
        </w:tc>
        <w:tc>
          <w:tcPr>
            <w:shd w:val="clear" w:color="auto" w:fill="auto"/>
            <w:tcW w:w="1204" w:type="dxa"/>
            <w:vAlign w:val="top"/>
            <w:textDirection w:val="lrTb"/>
            <w:noWrap w:val="false"/>
          </w:tcPr>
          <w:p>
            <w:pPr>
              <w:pStyle w:val="1312"/>
              <w:ind w:left="215"/>
              <w:spacing w:before="195" w:line="222"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shd w:val="clear" w:color="auto" w:fill="auto"/>
            <w:tcW w:w="1515" w:type="dxa"/>
            <w:vAlign w:val="top"/>
            <w:textDirection w:val="lrTb"/>
            <w:noWrap w:val="false"/>
          </w:tcPr>
          <w:p>
            <w:pPr>
              <w:pStyle w:val="1312"/>
              <w:ind w:left="146"/>
              <w:spacing w:before="195" w:line="221"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shd w:val="clear" w:color="auto" w:fill="auto"/>
            <w:tcW w:w="967" w:type="dxa"/>
            <w:vAlign w:val="top"/>
            <w:textDirection w:val="lrTb"/>
            <w:noWrap w:val="false"/>
          </w:tcPr>
          <w:p>
            <w:pPr>
              <w:pStyle w:val="1312"/>
              <w:ind w:left="97"/>
              <w:spacing w:before="195" w:line="220"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shd w:val="clear" w:color="auto" w:fill="auto"/>
            <w:tcW w:w="4252" w:type="dxa"/>
            <w:vAlign w:val="top"/>
            <w:textDirection w:val="lrTb"/>
            <w:noWrap w:val="false"/>
          </w:tcPr>
          <w:p>
            <w:pPr>
              <w:pStyle w:val="1312"/>
              <w:ind w:left="1307"/>
              <w:spacing w:before="195" w:line="221"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技术负责人</w:t>
            </w:r>
            <w:r/>
          </w:p>
        </w:tc>
        <w:tc>
          <w:tcPr>
            <w:shd w:val="clear" w:color="auto" w:fill="auto"/>
            <w:tcW w:w="1204" w:type="dxa"/>
            <w:vAlign w:val="top"/>
            <w:textDirection w:val="lrTb"/>
            <w:noWrap w:val="false"/>
          </w:tcPr>
          <w:p>
            <w:pPr>
              <w:pStyle w:val="1312"/>
              <w:ind w:left="321"/>
              <w:spacing w:before="195" w:line="220"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shd w:val="clear" w:color="auto" w:fill="auto"/>
            <w:tcW w:w="1515" w:type="dxa"/>
            <w:vAlign w:val="top"/>
            <w:textDirection w:val="lrTb"/>
            <w:noWrap w:val="false"/>
          </w:tcPr>
          <w:p>
            <w:pPr>
              <w:pStyle w:val="1312"/>
              <w:ind w:left="33"/>
              <w:spacing w:before="195" w:line="220"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shd w:val="clear" w:color="auto" w:fill="auto"/>
            <w:tcW w:w="967" w:type="dxa"/>
            <w:vAlign w:val="top"/>
            <w:textDirection w:val="lrTb"/>
            <w:noWrap w:val="false"/>
          </w:tcPr>
          <w:p>
            <w:pPr>
              <w:pStyle w:val="1312"/>
              <w:ind w:left="97"/>
              <w:spacing w:before="195" w:line="220"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shd w:val="clear" w:color="auto" w:fill="auto"/>
            <w:tcW w:w="4252" w:type="dxa"/>
            <w:vAlign w:val="top"/>
            <w:textDirection w:val="lrTb"/>
            <w:noWrap w:val="false"/>
          </w:tcPr>
          <w:p>
            <w:pPr>
              <w:pStyle w:val="1312"/>
              <w:ind w:left="1307"/>
              <w:spacing w:before="194" w:line="221"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造价管理</w:t>
            </w:r>
            <w:r/>
          </w:p>
        </w:tc>
        <w:tc>
          <w:tcPr>
            <w:shd w:val="clear" w:color="auto" w:fill="auto"/>
            <w:tcW w:w="1204" w:type="dxa"/>
            <w:vAlign w:val="top"/>
            <w:textDirection w:val="lrTb"/>
            <w:noWrap w:val="false"/>
          </w:tcPr>
          <w:p>
            <w:pPr>
              <w:pStyle w:val="1312"/>
              <w:ind w:left="323"/>
              <w:spacing w:before="196" w:line="220"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shd w:val="clear" w:color="auto" w:fill="auto"/>
            <w:tcW w:w="1515" w:type="dxa"/>
            <w:vAlign w:val="top"/>
            <w:textDirection w:val="lrTb"/>
            <w:noWrap w:val="false"/>
          </w:tcPr>
          <w:p>
            <w:pPr>
              <w:pStyle w:val="1312"/>
              <w:ind w:left="255"/>
              <w:spacing w:before="196" w:line="220"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shd w:val="clear" w:color="auto" w:fill="auto"/>
            <w:tcW w:w="967" w:type="dxa"/>
            <w:vAlign w:val="top"/>
            <w:textDirection w:val="lrTb"/>
            <w:noWrap w:val="false"/>
          </w:tcPr>
          <w:p>
            <w:pPr>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shd w:val="clear" w:color="auto" w:fill="auto"/>
            <w:tcW w:w="4252" w:type="dxa"/>
            <w:vAlign w:val="top"/>
            <w:textDirection w:val="lrTb"/>
            <w:noWrap w:val="false"/>
          </w:tcPr>
          <w:p>
            <w:pPr>
              <w:pStyle w:val="1312"/>
              <w:ind w:left="1307"/>
              <w:spacing w:before="196" w:line="221"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质量管理</w:t>
            </w:r>
            <w:r/>
          </w:p>
        </w:tc>
        <w:tc>
          <w:tcPr>
            <w:shd w:val="clear" w:color="auto" w:fill="auto"/>
            <w:tcW w:w="1204" w:type="dxa"/>
            <w:vAlign w:val="top"/>
            <w:textDirection w:val="lrTb"/>
            <w:noWrap w:val="false"/>
          </w:tcPr>
          <w:p>
            <w:pPr>
              <w:pStyle w:val="1312"/>
              <w:ind w:left="212"/>
              <w:spacing w:before="197" w:line="219"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shd w:val="clear" w:color="auto" w:fill="auto"/>
            <w:tcW w:w="1515" w:type="dxa"/>
            <w:vAlign w:val="top"/>
            <w:textDirection w:val="lrTb"/>
            <w:noWrap w:val="false"/>
          </w:tcPr>
          <w:p>
            <w:pPr>
              <w:pStyle w:val="1312"/>
              <w:ind w:left="254"/>
              <w:spacing w:before="197" w:line="220"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shd w:val="clear" w:color="auto" w:fill="auto"/>
            <w:tcW w:w="967" w:type="dxa"/>
            <w:vAlign w:val="top"/>
            <w:textDirection w:val="lrTb"/>
            <w:noWrap w:val="false"/>
          </w:tcPr>
          <w:p>
            <w:pPr>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shd w:val="clear" w:color="auto" w:fill="auto"/>
            <w:tcW w:w="4252" w:type="dxa"/>
            <w:vAlign w:val="top"/>
            <w:textDirection w:val="lrTb"/>
            <w:noWrap w:val="false"/>
          </w:tcPr>
          <w:p>
            <w:pPr>
              <w:pStyle w:val="1312"/>
              <w:ind w:left="1307"/>
              <w:spacing w:before="197" w:line="221"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材料管理</w:t>
            </w:r>
            <w:r/>
          </w:p>
        </w:tc>
        <w:tc>
          <w:tcPr>
            <w:shd w:val="clear" w:color="auto" w:fill="auto"/>
            <w:tcW w:w="1204" w:type="dxa"/>
            <w:vAlign w:val="top"/>
            <w:textDirection w:val="lrTb"/>
            <w:noWrap w:val="false"/>
          </w:tcPr>
          <w:p>
            <w:pPr>
              <w:pStyle w:val="1312"/>
              <w:ind w:left="215"/>
              <w:spacing w:before="196" w:line="221"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shd w:val="clear" w:color="auto" w:fill="auto"/>
            <w:tcW w:w="1515" w:type="dxa"/>
            <w:vAlign w:val="top"/>
            <w:textDirection w:val="lrTb"/>
            <w:noWrap w:val="false"/>
          </w:tcPr>
          <w:p>
            <w:pPr>
              <w:pStyle w:val="1312"/>
              <w:ind w:left="253"/>
              <w:spacing w:before="197" w:line="219"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shd w:val="clear" w:color="auto" w:fill="auto"/>
            <w:tcW w:w="967" w:type="dxa"/>
            <w:vAlign w:val="top"/>
            <w:textDirection w:val="lrTb"/>
            <w:noWrap w:val="false"/>
          </w:tcPr>
          <w:p>
            <w:pPr>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shd w:val="clear" w:color="auto" w:fill="auto"/>
            <w:tcW w:w="4252" w:type="dxa"/>
            <w:vAlign w:val="top"/>
            <w:textDirection w:val="lrTb"/>
            <w:noWrap w:val="false"/>
          </w:tcPr>
          <w:p>
            <w:pPr>
              <w:pStyle w:val="1312"/>
              <w:ind w:left="1307"/>
              <w:spacing w:before="196" w:line="221"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安全管理</w:t>
            </w:r>
            <w:r/>
          </w:p>
        </w:tc>
        <w:tc>
          <w:tcPr>
            <w:shd w:val="clear" w:color="auto" w:fill="auto"/>
            <w:tcW w:w="1204" w:type="dxa"/>
            <w:vAlign w:val="top"/>
            <w:textDirection w:val="lrTb"/>
            <w:noWrap w:val="false"/>
          </w:tcPr>
          <w:p>
            <w:pPr>
              <w:pStyle w:val="1312"/>
              <w:ind w:left="320"/>
              <w:spacing w:before="195" w:line="222"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shd w:val="clear" w:color="auto" w:fill="auto"/>
            <w:tcW w:w="1515" w:type="dxa"/>
            <w:vAlign w:val="top"/>
            <w:textDirection w:val="lrTb"/>
            <w:noWrap w:val="false"/>
          </w:tcPr>
          <w:p>
            <w:pPr>
              <w:pStyle w:val="1312"/>
              <w:ind w:left="257"/>
              <w:spacing w:before="195" w:line="222"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shd w:val="clear" w:color="auto" w:fill="auto"/>
            <w:tcW w:w="967" w:type="dxa"/>
            <w:vAlign w:val="top"/>
            <w:textDirection w:val="lrTb"/>
            <w:noWrap w:val="false"/>
          </w:tcPr>
          <w:p>
            <w:pPr>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shd w:val="clear" w:color="auto" w:fill="auto"/>
            <w:tcW w:w="4252" w:type="dxa"/>
            <w:vAlign w:val="top"/>
            <w:textDirection w:val="lrTb"/>
            <w:noWrap w:val="false"/>
          </w:tcPr>
          <w:p>
            <w:pPr>
              <w:pStyle w:val="1312"/>
              <w:ind w:left="1307"/>
              <w:spacing w:before="195" w:line="221"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t xml:space="preserve">其他人员</w:t>
            </w:r>
            <w:r/>
          </w:p>
        </w:tc>
        <w:tc>
          <w:tcPr>
            <w:shd w:val="clear" w:color="auto" w:fill="auto"/>
            <w:tcW w:w="1204" w:type="dxa"/>
            <w:vAlign w:val="top"/>
            <w:textDirection w:val="lrTb"/>
            <w:noWrap w:val="false"/>
          </w:tcPr>
          <w:p>
            <w:pPr>
              <w:pStyle w:val="1312"/>
              <w:ind w:left="333"/>
              <w:spacing w:before="198" w:line="219"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shd w:val="clear" w:color="auto" w:fill="auto"/>
            <w:tcW w:w="1515" w:type="dxa"/>
            <w:vAlign w:val="top"/>
            <w:textDirection w:val="lrTb"/>
            <w:noWrap w:val="false"/>
          </w:tcPr>
          <w:p>
            <w:pPr>
              <w:pStyle w:val="1312"/>
              <w:ind w:left="252"/>
              <w:spacing w:before="197" w:line="222"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shd w:val="clear" w:color="auto" w:fill="auto"/>
            <w:tcW w:w="967" w:type="dxa"/>
            <w:vAlign w:val="top"/>
            <w:textDirection w:val="lrTb"/>
            <w:noWrap w:val="false"/>
          </w:tcPr>
          <w:p>
            <w:pPr>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shd w:val="clear" w:color="auto" w:fill="auto"/>
            <w:tcW w:w="4252" w:type="dxa"/>
            <w:vAlign w:val="top"/>
            <w:textDirection w:val="lrTb"/>
            <w:noWrap w:val="false"/>
          </w:tcPr>
          <w:p>
            <w:pPr>
              <w:pStyle w:val="1312"/>
              <w:ind w:left="1307"/>
              <w:spacing w:before="197" w:line="221"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r>
      <w:tr>
        <w:trPr>
          <w:jc w:val="center"/>
        </w:trPr>
        <w:tc>
          <w:tcPr>
            <w:tcW w:w="1871" w:type="dxa"/>
            <w:vAlign w:val="center"/>
            <w:vMerge w:val="continue"/>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Borders>
              <w:bottom w:val="none" w:color="000000" w:sz="4" w:space="0"/>
            </w:tcBorders>
            <w:tcW w:w="1204"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Borders>
              <w:bottom w:val="none" w:color="000000" w:sz="4" w:space="0"/>
            </w:tcBorders>
            <w:tcW w:w="1515"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Borders>
              <w:bottom w:val="none" w:color="000000" w:sz="4" w:space="0"/>
            </w:tcBorders>
            <w:tcW w:w="967"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Borders>
              <w:bottom w:val="none" w:color="000000" w:sz="4" w:space="0"/>
            </w:tcBorders>
            <w:tcW w:w="4252"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r>
      <w:tr>
        <w:trPr>
          <w:jc w:val="center"/>
        </w:trPr>
        <w:tc>
          <w:tcPr>
            <w:tcW w:w="1871" w:type="dxa"/>
            <w:vAlign w:val="center"/>
            <w:vMerge w:val="continue"/>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204"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515"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967"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4252"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r>
      <w:tr>
        <w:trPr>
          <w:jc w:val="center"/>
        </w:trPr>
        <w:tc>
          <w:tcPr>
            <w:tcW w:w="1871" w:type="dxa"/>
            <w:vAlign w:val="center"/>
            <w:vMerge w:val="continue"/>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204"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515"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967"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4252"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r>
      <w:tr>
        <w:trPr>
          <w:jc w:val="center"/>
        </w:trPr>
        <w:tc>
          <w:tcPr>
            <w:tcW w:w="1871" w:type="dxa"/>
            <w:vAlign w:val="center"/>
            <w:vMerge w:val="continue"/>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204"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1515"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967"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W w:w="4252"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r>
      <w:tr>
        <w:trPr>
          <w:jc w:val="center"/>
        </w:trPr>
        <w:tc>
          <w:tcPr>
            <w:tcBorders>
              <w:bottom w:val="single" w:color="auto" w:sz="12" w:space="0"/>
            </w:tcBorders>
            <w:tcW w:w="1871" w:type="dxa"/>
            <w:vAlign w:val="center"/>
            <w:vMerge w:val="continue"/>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Borders>
              <w:bottom w:val="single" w:color="auto" w:sz="12" w:space="0"/>
            </w:tcBorders>
            <w:tcW w:w="1204"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Borders>
              <w:bottom w:val="single" w:color="auto" w:sz="12" w:space="0"/>
            </w:tcBorders>
            <w:tcW w:w="1515"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Borders>
              <w:bottom w:val="single" w:color="auto" w:sz="12" w:space="0"/>
            </w:tcBorders>
            <w:tcW w:w="967"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c>
          <w:tcPr>
            <w:tcBorders>
              <w:bottom w:val="single" w:color="auto" w:sz="12" w:space="0"/>
            </w:tcBorders>
            <w:tcW w:w="4252" w:type="dxa"/>
            <w:vAlign w:val="center"/>
            <w:textDirection w:val="lrTb"/>
            <w:noWrap w:val="false"/>
          </w:tcPr>
          <w:p>
            <w:pPr>
              <w:ind w:left="63" w:right="63"/>
              <w:jc w:val="center"/>
              <w:keepNext/>
              <w:spacing w:after="60" w:line="440" w:lineRule="exact"/>
              <w:widowControl w:val="off"/>
              <w:rPr>
                <w:rFonts w:hint="eastAsia" w:ascii="宋体" w:hAnsi="宋体" w:eastAsia="宋体" w:cs="宋体"/>
                <w:color w:val="000000"/>
                <w:sz w:val="28"/>
                <w:szCs w:val="30"/>
                <w:lang w:val="en-US" w:eastAsia="zh-CN" w:bidi="ar-SA"/>
              </w:rPr>
            </w:pPr>
            <w:r>
              <w:rPr>
                <w:rFonts w:hint="eastAsia" w:ascii="宋体" w:hAnsi="宋体" w:eastAsia="宋体" w:cs="宋体"/>
                <w:color w:val="000000"/>
                <w:sz w:val="28"/>
                <w:szCs w:val="30"/>
                <w:lang w:val="en-US" w:eastAsia="zh-CN" w:bidi="ar-SA"/>
              </w:rPr>
            </w:r>
            <w:r/>
          </w:p>
        </w:tc>
      </w:tr>
    </w:tbl>
    <w:p>
      <w:pPr>
        <w:spacing w:line="440" w:lineRule="exact"/>
        <w:rPr>
          <w:rFonts w:hint="eastAsia" w:ascii="仿宋_GB2312" w:eastAsia="仿宋_GB2312"/>
          <w:color w:val="000000"/>
          <w:sz w:val="28"/>
          <w:szCs w:val="30"/>
        </w:rPr>
      </w:pPr>
      <w:r>
        <w:rPr>
          <w:rFonts w:hint="eastAsia" w:ascii="宋体" w:hAnsi="宋体" w:eastAsia="宋体" w:cs="宋体"/>
          <w:b/>
          <w:color w:val="000000"/>
          <w:sz w:val="30"/>
          <w:szCs w:val="30"/>
        </w:rPr>
        <w:t xml:space="preserve">此表格投标人在招投标阶段无需填写，在合同备案时填写完整。</w:t>
      </w:r>
      <w:r>
        <w:rPr>
          <w:rFonts w:hint="eastAsia" w:ascii="仿宋_GB2312" w:eastAsia="仿宋_GB2312"/>
          <w:color w:val="000000"/>
          <w:sz w:val="28"/>
          <w:szCs w:val="30"/>
        </w:rPr>
        <w:br w:type="page" w:clear="all"/>
      </w:r>
      <w:bookmarkStart w:id="560" w:name="_Toc267261701"/>
      <w:r>
        <w:rPr>
          <w:rFonts w:hint="eastAsia" w:ascii="仿宋_GB2312" w:eastAsia="仿宋_GB2312"/>
          <w:color w:val="000000"/>
          <w:sz w:val="28"/>
          <w:szCs w:val="30"/>
        </w:rPr>
        <w:t xml:space="preserve">附</w:t>
      </w:r>
      <w:bookmarkStart w:id="561" w:name="_Toc296891059"/>
      <w:r/>
      <w:bookmarkStart w:id="562" w:name="_Toc296346732"/>
      <w:r/>
      <w:bookmarkStart w:id="563" w:name="_Toc296347230"/>
      <w:r/>
      <w:bookmarkStart w:id="564" w:name="_Toc296944570"/>
      <w:r/>
      <w:bookmarkStart w:id="565" w:name="_Toc296891271"/>
      <w:r/>
      <w:bookmarkStart w:id="566" w:name="_Toc296503231"/>
      <w:r>
        <w:rPr>
          <w:rFonts w:hint="eastAsia" w:ascii="仿宋_GB2312" w:eastAsia="仿宋_GB2312"/>
          <w:color w:val="000000"/>
          <w:sz w:val="28"/>
          <w:szCs w:val="30"/>
        </w:rPr>
        <w:t xml:space="preserve">件</w:t>
      </w:r>
      <w:r>
        <w:rPr>
          <w:rFonts w:hint="eastAsia" w:ascii="仿宋_GB2312" w:eastAsia="仿宋_GB2312"/>
          <w:color w:val="000000"/>
          <w:sz w:val="28"/>
          <w:szCs w:val="30"/>
          <w:lang w:val="en-US" w:eastAsia="zh-CN"/>
        </w:rPr>
        <w:t xml:space="preserve">4</w:t>
      </w:r>
      <w:r>
        <w:rPr>
          <w:rFonts w:hint="eastAsia" w:ascii="仿宋_GB2312" w:eastAsia="仿宋_GB2312"/>
          <w:color w:val="000000"/>
          <w:sz w:val="28"/>
          <w:szCs w:val="30"/>
        </w:rPr>
        <w:t xml:space="preserve">：</w:t>
      </w:r>
      <w:bookmarkEnd w:id="560"/>
      <w:r/>
      <w:bookmarkEnd w:id="561"/>
      <w:r/>
      <w:bookmarkEnd w:id="562"/>
      <w:r/>
      <w:bookmarkEnd w:id="563"/>
      <w:r/>
      <w:bookmarkEnd w:id="564"/>
      <w:r/>
      <w:bookmarkEnd w:id="565"/>
      <w:r/>
      <w:bookmarkEnd w:id="566"/>
      <w:r/>
      <w:r/>
    </w:p>
    <w:p>
      <w:pPr>
        <w:jc w:val="center"/>
        <w:spacing w:before="120" w:after="120" w:line="400" w:lineRule="exact"/>
        <w:rPr>
          <w:rFonts w:hint="eastAsia" w:ascii="宋体" w:hAnsi="宋体" w:eastAsia="宋体"/>
          <w:color w:val="000000"/>
          <w:sz w:val="28"/>
          <w:szCs w:val="30"/>
        </w:rPr>
      </w:pPr>
      <w:r>
        <w:rPr>
          <w:rFonts w:hint="eastAsia" w:ascii="宋体" w:hAnsi="宋体" w:eastAsia="宋体"/>
          <w:color w:val="000000"/>
          <w:sz w:val="28"/>
          <w:szCs w:val="30"/>
        </w:rPr>
        <w:t xml:space="preserve">履约担保</w:t>
      </w:r>
      <w:r/>
    </w:p>
    <w:p>
      <w:pPr>
        <w:spacing w:line="400" w:lineRule="exact"/>
        <w:rPr>
          <w:rFonts w:hint="eastAsia" w:ascii="宋体" w:hAnsi="宋体" w:eastAsia="宋体"/>
          <w:color w:val="000000"/>
          <w:sz w:val="28"/>
          <w:szCs w:val="30"/>
        </w:rPr>
      </w:pP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         </w:t>
      </w:r>
      <w:r>
        <w:rPr>
          <w:rFonts w:hint="eastAsia" w:ascii="宋体" w:hAnsi="宋体" w:eastAsia="宋体"/>
          <w:color w:val="000000"/>
          <w:sz w:val="28"/>
          <w:szCs w:val="30"/>
          <w:u w:val="single"/>
        </w:rPr>
        <w:tab/>
      </w:r>
      <w:r>
        <w:rPr>
          <w:rFonts w:hint="eastAsia" w:ascii="宋体" w:hAnsi="宋体" w:eastAsia="宋体"/>
          <w:color w:val="000000"/>
          <w:sz w:val="28"/>
          <w:szCs w:val="30"/>
        </w:rPr>
        <w:t xml:space="preserve">（发包人名称）：</w:t>
      </w:r>
      <w:r/>
    </w:p>
    <w:p>
      <w:pPr>
        <w:spacing w:line="400" w:lineRule="exact"/>
        <w:rPr>
          <w:rFonts w:hint="eastAsia" w:ascii="宋体" w:hAnsi="宋体" w:eastAsia="宋体"/>
          <w:color w:val="000000"/>
          <w:sz w:val="28"/>
          <w:szCs w:val="30"/>
        </w:rPr>
      </w:pPr>
      <w:r>
        <w:rPr>
          <w:rFonts w:hint="eastAsia" w:ascii="宋体" w:hAnsi="宋体" w:eastAsia="宋体"/>
          <w:color w:val="000000"/>
          <w:sz w:val="28"/>
          <w:szCs w:val="30"/>
        </w:rPr>
      </w:r>
      <w:r/>
    </w:p>
    <w:p>
      <w:pPr>
        <w:ind w:firstLine="560"/>
        <w:spacing w:line="400" w:lineRule="exact"/>
        <w:rPr>
          <w:rFonts w:hint="eastAsia" w:ascii="宋体" w:hAnsi="宋体" w:eastAsia="宋体"/>
          <w:color w:val="000000"/>
          <w:sz w:val="28"/>
          <w:szCs w:val="30"/>
        </w:rPr>
      </w:pPr>
      <w:r>
        <w:rPr>
          <w:rFonts w:hint="eastAsia" w:ascii="宋体" w:hAnsi="宋体" w:eastAsia="宋体"/>
          <w:color w:val="000000"/>
          <w:sz w:val="28"/>
          <w:szCs w:val="30"/>
        </w:rPr>
        <w:t xml:space="preserve">鉴于</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           </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（发包人名称，以下简称“发包人”）与</w:t>
      </w:r>
      <w:r/>
    </w:p>
    <w:p>
      <w:pPr>
        <w:spacing w:line="400" w:lineRule="exact"/>
        <w:rPr>
          <w:rFonts w:hint="eastAsia" w:ascii="宋体" w:hAnsi="宋体" w:eastAsia="宋体"/>
          <w:color w:val="000000"/>
          <w:sz w:val="28"/>
          <w:szCs w:val="30"/>
        </w:rPr>
      </w:pPr>
      <w:r>
        <w:rPr>
          <w:rFonts w:hint="eastAsia" w:ascii="宋体" w:hAnsi="宋体" w:eastAsia="宋体"/>
          <w:color w:val="000000"/>
          <w:sz w:val="28"/>
          <w:szCs w:val="30"/>
        </w:rPr>
        <w:t xml:space="preserve"> </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                      </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（承包人名称）（以下称“承包人”）于</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   </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年</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   </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月</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日就</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                  </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（工程名称）施工及有关事项协商一致共同签订《建设工程施工合同》。我方愿意无条件地、不可撤销地就承包人履行与你方签订的合同，向你方提供连带责任担保。 </w:t>
      </w:r>
      <w:r/>
    </w:p>
    <w:p>
      <w:pPr>
        <w:ind w:firstLine="560"/>
        <w:spacing w:line="400" w:lineRule="exact"/>
        <w:rPr>
          <w:rFonts w:hint="eastAsia" w:ascii="宋体" w:hAnsi="宋体" w:eastAsia="宋体"/>
          <w:color w:val="000000"/>
          <w:sz w:val="28"/>
          <w:szCs w:val="30"/>
        </w:rPr>
      </w:pPr>
      <w:r>
        <w:rPr>
          <w:rFonts w:hint="eastAsia" w:ascii="宋体" w:hAnsi="宋体" w:eastAsia="宋体"/>
          <w:color w:val="000000"/>
          <w:sz w:val="28"/>
          <w:szCs w:val="30"/>
        </w:rPr>
        <w:t xml:space="preserve">1. 担保金额人民币（大写）</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元（¥</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w:t>
      </w:r>
      <w:r/>
    </w:p>
    <w:p>
      <w:pPr>
        <w:ind w:firstLine="560"/>
        <w:spacing w:line="400" w:lineRule="exact"/>
        <w:rPr>
          <w:rFonts w:hint="eastAsia" w:ascii="宋体" w:hAnsi="宋体" w:eastAsia="宋体"/>
          <w:color w:val="000000"/>
          <w:sz w:val="28"/>
          <w:szCs w:val="30"/>
        </w:rPr>
      </w:pPr>
      <w:r>
        <w:rPr>
          <w:rFonts w:hint="eastAsia" w:ascii="宋体" w:hAnsi="宋体" w:eastAsia="宋体"/>
          <w:color w:val="000000"/>
          <w:sz w:val="28"/>
          <w:szCs w:val="30"/>
        </w:rPr>
        <w:t xml:space="preserve">2. 担保有效期自你方与承包人签订的合同生效之日起至你方签发或应签发工程接收证书之日止。</w:t>
      </w:r>
      <w:r/>
    </w:p>
    <w:p>
      <w:pPr>
        <w:ind w:firstLine="560"/>
        <w:spacing w:line="400" w:lineRule="exact"/>
        <w:rPr>
          <w:rFonts w:hint="eastAsia" w:ascii="宋体" w:hAnsi="宋体" w:eastAsia="宋体"/>
          <w:color w:val="000000"/>
          <w:sz w:val="28"/>
          <w:szCs w:val="30"/>
        </w:rPr>
      </w:pPr>
      <w:r>
        <w:rPr>
          <w:rFonts w:hint="eastAsia" w:ascii="宋体" w:hAnsi="宋体" w:eastAsia="宋体"/>
          <w:color w:val="000000"/>
          <w:sz w:val="28"/>
          <w:szCs w:val="30"/>
        </w:rPr>
        <w:t xml:space="preserve">3. 在本担保有效期内，因承包人违反合同约定的义务给你方造成经济损失时，我方在收到你方以书面形式提出的在担保金额内的赔偿要求后，在7天内无条件支付。</w:t>
      </w:r>
      <w:r/>
    </w:p>
    <w:p>
      <w:pPr>
        <w:ind w:firstLine="560"/>
        <w:spacing w:line="400" w:lineRule="exact"/>
        <w:rPr>
          <w:rFonts w:hint="eastAsia" w:ascii="宋体" w:hAnsi="宋体" w:eastAsia="宋体"/>
          <w:color w:val="000000"/>
          <w:sz w:val="28"/>
          <w:szCs w:val="30"/>
        </w:rPr>
      </w:pPr>
      <w:r>
        <w:rPr>
          <w:rFonts w:hint="eastAsia" w:ascii="宋体" w:hAnsi="宋体" w:eastAsia="宋体"/>
          <w:color w:val="000000"/>
          <w:sz w:val="28"/>
          <w:szCs w:val="30"/>
        </w:rPr>
        <w:t xml:space="preserve">4. 你方和承包人按合同约定变更合同时，我方承担本担保规定的义务不变。</w:t>
      </w:r>
      <w:r/>
    </w:p>
    <w:p>
      <w:pPr>
        <w:ind w:firstLine="560"/>
        <w:spacing w:line="400" w:lineRule="exact"/>
        <w:rPr>
          <w:rFonts w:hint="eastAsia" w:ascii="宋体" w:hAnsi="宋体" w:eastAsia="宋体"/>
          <w:color w:val="000000"/>
          <w:sz w:val="28"/>
          <w:szCs w:val="30"/>
        </w:rPr>
      </w:pPr>
      <w:r>
        <w:rPr>
          <w:rFonts w:hint="eastAsia" w:ascii="宋体" w:hAnsi="宋体" w:eastAsia="宋体"/>
          <w:color w:val="000000"/>
          <w:sz w:val="28"/>
          <w:szCs w:val="30"/>
        </w:rPr>
        <w:t xml:space="preserve">5. 因本保函发生的纠纷，可由双方协商解决，协商不成的，任何一方均可提请</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仲裁委员会仲裁。</w:t>
      </w:r>
      <w:r/>
    </w:p>
    <w:p>
      <w:pPr>
        <w:ind w:firstLine="560"/>
        <w:spacing w:line="400" w:lineRule="exact"/>
        <w:rPr>
          <w:rFonts w:hint="eastAsia" w:ascii="宋体" w:hAnsi="宋体" w:eastAsia="宋体"/>
          <w:color w:val="000000"/>
          <w:sz w:val="28"/>
          <w:szCs w:val="30"/>
        </w:rPr>
      </w:pPr>
      <w:r>
        <w:rPr>
          <w:rFonts w:hint="eastAsia" w:ascii="宋体" w:hAnsi="宋体" w:eastAsia="宋体"/>
          <w:color w:val="000000"/>
          <w:sz w:val="28"/>
          <w:szCs w:val="30"/>
        </w:rPr>
        <w:t xml:space="preserve">6. 本保函自我方法定代表人（或其授权代理人）签字并加盖公章之日起生效。</w:t>
      </w:r>
      <w:r/>
    </w:p>
    <w:p>
      <w:pPr>
        <w:spacing w:line="400" w:lineRule="exact"/>
        <w:rPr>
          <w:rFonts w:hint="eastAsia" w:ascii="宋体" w:hAnsi="宋体" w:eastAsia="宋体"/>
          <w:color w:val="000000"/>
          <w:sz w:val="28"/>
          <w:szCs w:val="30"/>
        </w:rPr>
      </w:pPr>
      <w:r>
        <w:rPr>
          <w:rFonts w:hint="eastAsia" w:ascii="宋体" w:hAnsi="宋体" w:eastAsia="宋体"/>
          <w:color w:val="000000"/>
          <w:sz w:val="28"/>
          <w:szCs w:val="30"/>
        </w:rPr>
      </w:r>
      <w:r/>
    </w:p>
    <w:p>
      <w:pPr>
        <w:spacing w:line="400" w:lineRule="exact"/>
        <w:rPr>
          <w:rFonts w:hint="eastAsia" w:ascii="宋体" w:hAnsi="宋体" w:eastAsia="宋体"/>
          <w:color w:val="000000"/>
          <w:sz w:val="28"/>
          <w:szCs w:val="30"/>
        </w:rPr>
      </w:pPr>
      <w:r>
        <w:rPr>
          <w:rFonts w:hint="eastAsia" w:ascii="宋体" w:hAnsi="宋体" w:eastAsia="宋体"/>
          <w:color w:val="000000"/>
          <w:sz w:val="28"/>
          <w:szCs w:val="30"/>
        </w:rPr>
        <w:t xml:space="preserve">担 保 人：</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（盖单位章）</w:t>
      </w:r>
      <w:r/>
    </w:p>
    <w:p>
      <w:pPr>
        <w:spacing w:line="400" w:lineRule="exact"/>
        <w:rPr>
          <w:rFonts w:hint="eastAsia" w:ascii="宋体" w:hAnsi="宋体" w:eastAsia="宋体"/>
          <w:color w:val="000000"/>
          <w:sz w:val="28"/>
          <w:szCs w:val="30"/>
        </w:rPr>
      </w:pPr>
      <w:r>
        <w:rPr>
          <w:rFonts w:hint="eastAsia" w:ascii="宋体" w:hAnsi="宋体" w:eastAsia="宋体"/>
          <w:color w:val="000000"/>
          <w:sz w:val="28"/>
          <w:szCs w:val="30"/>
        </w:rPr>
        <w:t xml:space="preserve">法定代表人或其委托代理人：</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（签字）</w:t>
      </w:r>
      <w:r/>
    </w:p>
    <w:p>
      <w:pPr>
        <w:spacing w:line="400" w:lineRule="exact"/>
        <w:rPr>
          <w:rFonts w:hint="eastAsia" w:ascii="宋体" w:hAnsi="宋体" w:eastAsia="宋体"/>
          <w:color w:val="000000"/>
          <w:sz w:val="28"/>
          <w:szCs w:val="30"/>
        </w:rPr>
      </w:pPr>
      <w:r>
        <w:rPr>
          <w:rFonts w:hint="eastAsia" w:ascii="宋体" w:hAnsi="宋体" w:eastAsia="宋体"/>
          <w:color w:val="000000"/>
          <w:sz w:val="28"/>
          <w:szCs w:val="30"/>
        </w:rPr>
        <w:t xml:space="preserve">地    址：</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p>
    <w:p>
      <w:pPr>
        <w:spacing w:line="400" w:lineRule="exact"/>
        <w:rPr>
          <w:rFonts w:hint="eastAsia" w:ascii="宋体" w:hAnsi="宋体" w:eastAsia="宋体"/>
          <w:color w:val="000000"/>
          <w:sz w:val="28"/>
          <w:szCs w:val="30"/>
        </w:rPr>
      </w:pPr>
      <w:r>
        <w:rPr>
          <w:rFonts w:hint="eastAsia" w:ascii="宋体" w:hAnsi="宋体" w:eastAsia="宋体"/>
          <w:color w:val="000000"/>
          <w:sz w:val="28"/>
          <w:szCs w:val="30"/>
        </w:rPr>
        <w:t xml:space="preserve">邮政编码：</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p>
    <w:p>
      <w:pPr>
        <w:spacing w:line="400" w:lineRule="exact"/>
        <w:rPr>
          <w:rFonts w:hint="eastAsia" w:ascii="宋体" w:hAnsi="宋体" w:eastAsia="宋体"/>
          <w:color w:val="000000"/>
          <w:sz w:val="28"/>
          <w:szCs w:val="30"/>
          <w:u w:val="single"/>
        </w:rPr>
      </w:pPr>
      <w:r>
        <w:rPr>
          <w:rFonts w:hint="eastAsia" w:ascii="宋体" w:hAnsi="宋体" w:eastAsia="宋体"/>
          <w:color w:val="000000"/>
          <w:sz w:val="28"/>
          <w:szCs w:val="30"/>
        </w:rPr>
        <w:t xml:space="preserve">电    话：</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p>
    <w:p>
      <w:pPr>
        <w:spacing w:line="400" w:lineRule="exact"/>
        <w:rPr>
          <w:rFonts w:hint="eastAsia" w:ascii="宋体" w:hAnsi="宋体" w:eastAsia="宋体"/>
          <w:color w:val="000000"/>
          <w:sz w:val="28"/>
          <w:szCs w:val="30"/>
        </w:rPr>
      </w:pPr>
      <w:r>
        <w:rPr>
          <w:rFonts w:hint="eastAsia" w:ascii="宋体" w:hAnsi="宋体" w:eastAsia="宋体"/>
          <w:color w:val="000000"/>
          <w:sz w:val="28"/>
          <w:szCs w:val="30"/>
        </w:rPr>
        <w:t xml:space="preserve">传    真：</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p>
    <w:p>
      <w:pPr>
        <w:jc w:val="left"/>
        <w:spacing w:line="400" w:lineRule="exact"/>
        <w:rPr>
          <w:rFonts w:hint="eastAsia" w:ascii="宋体" w:hAnsi="宋体" w:eastAsia="宋体"/>
          <w:color w:val="000000"/>
          <w:sz w:val="28"/>
          <w:szCs w:val="30"/>
          <w:u w:val="single"/>
        </w:rPr>
      </w:pPr>
      <w:r>
        <w:rPr>
          <w:rFonts w:hint="eastAsia" w:ascii="宋体" w:hAnsi="宋体" w:eastAsia="宋体"/>
          <w:color w:val="000000"/>
          <w:sz w:val="28"/>
          <w:szCs w:val="30"/>
          <w:u w:val="single"/>
        </w:rPr>
      </w:r>
      <w:r/>
    </w:p>
    <w:p>
      <w:pPr>
        <w:ind w:left="1772" w:hanging="1772"/>
        <w:spacing w:line="400" w:lineRule="exact"/>
        <w:rPr>
          <w:rFonts w:hint="eastAsia" w:ascii="宋体" w:hAnsi="宋体" w:eastAsia="宋体"/>
          <w:color w:val="000000"/>
          <w:sz w:val="28"/>
          <w:szCs w:val="30"/>
        </w:rPr>
      </w:pPr>
      <w:r>
        <w:rPr>
          <w:rFonts w:hint="eastAsia" w:ascii="宋体" w:hAnsi="宋体" w:eastAsia="宋体"/>
          <w:color w:val="000000"/>
          <w:sz w:val="28"/>
          <w:szCs w:val="30"/>
        </w:rPr>
        <w:t xml:space="preserve">                     </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年</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月</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日</w:t>
      </w:r>
      <w:r/>
    </w:p>
    <w:p>
      <w:pPr>
        <w:ind w:left="1772" w:hanging="1772"/>
        <w:spacing w:line="400" w:lineRule="exact"/>
        <w:rPr>
          <w:rFonts w:hint="eastAsia" w:ascii="宋体" w:hAnsi="宋体" w:eastAsia="宋体"/>
          <w:color w:val="000000"/>
          <w:sz w:val="28"/>
          <w:szCs w:val="30"/>
        </w:rPr>
      </w:pPr>
      <w:r>
        <w:rPr>
          <w:rFonts w:hint="eastAsia" w:ascii="宋体" w:hAnsi="宋体" w:eastAsia="宋体"/>
          <w:color w:val="000000"/>
          <w:sz w:val="28"/>
          <w:szCs w:val="30"/>
        </w:rPr>
      </w:r>
      <w:r/>
    </w:p>
    <w:p>
      <w:pPr>
        <w:spacing w:line="360" w:lineRule="auto"/>
        <w:rPr>
          <w:rFonts w:hint="eastAsia" w:ascii="仿宋_GB2312" w:eastAsia="仿宋_GB2312"/>
          <w:color w:val="000000"/>
          <w:sz w:val="28"/>
          <w:szCs w:val="30"/>
        </w:rPr>
      </w:pPr>
      <w:r>
        <w:rPr>
          <w:rFonts w:hint="eastAsia" w:ascii="仿宋_GB2312" w:eastAsia="仿宋_GB2312"/>
          <w:color w:val="000000"/>
          <w:sz w:val="28"/>
          <w:szCs w:val="30"/>
        </w:rPr>
      </w:r>
      <w:r/>
    </w:p>
    <w:p>
      <w:pPr>
        <w:spacing w:line="360" w:lineRule="auto"/>
        <w:rPr>
          <w:rFonts w:hint="eastAsia" w:ascii="仿宋_GB2312" w:eastAsia="仿宋_GB2312"/>
          <w:color w:val="000000"/>
          <w:sz w:val="28"/>
          <w:szCs w:val="30"/>
        </w:rPr>
      </w:pPr>
      <w:r>
        <w:rPr>
          <w:rFonts w:hint="eastAsia" w:ascii="仿宋_GB2312" w:eastAsia="仿宋_GB2312"/>
          <w:color w:val="000000"/>
          <w:sz w:val="28"/>
          <w:szCs w:val="30"/>
        </w:rPr>
      </w:r>
      <w:r/>
    </w:p>
    <w:p>
      <w:pPr>
        <w:spacing w:line="360" w:lineRule="auto"/>
        <w:rPr>
          <w:rFonts w:hint="eastAsia" w:ascii="仿宋_GB2312" w:eastAsia="仿宋_GB2312"/>
          <w:color w:val="000000"/>
          <w:sz w:val="28"/>
          <w:szCs w:val="30"/>
        </w:rPr>
      </w:pPr>
      <w:r>
        <w:rPr>
          <w:rFonts w:hint="eastAsia" w:ascii="仿宋_GB2312" w:eastAsia="仿宋_GB2312"/>
          <w:color w:val="000000"/>
          <w:sz w:val="28"/>
          <w:szCs w:val="30"/>
        </w:rPr>
        <w:t xml:space="preserve">附</w:t>
      </w:r>
      <w:bookmarkStart w:id="567" w:name="_Toc296891060"/>
      <w:r/>
      <w:bookmarkStart w:id="568" w:name="_Toc267261702"/>
      <w:r/>
      <w:bookmarkStart w:id="569" w:name="_Toc296346733"/>
      <w:r/>
      <w:bookmarkStart w:id="570" w:name="_Toc296347231"/>
      <w:r/>
      <w:bookmarkStart w:id="571" w:name="_Toc296944571"/>
      <w:r/>
      <w:bookmarkStart w:id="572" w:name="_Toc296891272"/>
      <w:r/>
      <w:bookmarkStart w:id="573" w:name="_Toc296503232"/>
      <w:r>
        <w:rPr>
          <w:rFonts w:hint="eastAsia" w:ascii="仿宋_GB2312" w:eastAsia="仿宋_GB2312"/>
          <w:color w:val="000000"/>
          <w:sz w:val="28"/>
          <w:szCs w:val="30"/>
        </w:rPr>
        <w:t xml:space="preserve">件</w:t>
      </w:r>
      <w:r>
        <w:rPr>
          <w:rFonts w:hint="eastAsia" w:ascii="仿宋_GB2312" w:eastAsia="仿宋_GB2312"/>
          <w:color w:val="000000"/>
          <w:sz w:val="28"/>
          <w:szCs w:val="30"/>
          <w:lang w:val="en-US" w:eastAsia="zh-CN"/>
        </w:rPr>
        <w:t xml:space="preserve">5</w:t>
      </w:r>
      <w:r>
        <w:rPr>
          <w:rFonts w:hint="eastAsia" w:ascii="仿宋_GB2312" w:eastAsia="仿宋_GB2312"/>
          <w:color w:val="000000"/>
          <w:sz w:val="28"/>
          <w:szCs w:val="30"/>
        </w:rPr>
        <w:t xml:space="preserve"> ：</w:t>
      </w:r>
      <w:bookmarkEnd w:id="567"/>
      <w:r/>
      <w:bookmarkEnd w:id="568"/>
      <w:r/>
      <w:bookmarkEnd w:id="569"/>
      <w:r/>
      <w:bookmarkEnd w:id="570"/>
      <w:r/>
      <w:bookmarkEnd w:id="571"/>
      <w:r/>
      <w:bookmarkEnd w:id="572"/>
      <w:r/>
      <w:bookmarkEnd w:id="573"/>
      <w:r/>
      <w:r/>
    </w:p>
    <w:p>
      <w:pPr>
        <w:jc w:val="center"/>
        <w:spacing w:before="120" w:after="120"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预付款担保</w:t>
      </w:r>
      <w:r/>
    </w:p>
    <w:p>
      <w:pPr>
        <w:spacing w:line="360" w:lineRule="exact"/>
        <w:rPr>
          <w:rFonts w:hint="eastAsia" w:ascii="宋体" w:hAnsi="宋体" w:eastAsia="宋体"/>
          <w:color w:val="000000"/>
          <w:sz w:val="28"/>
          <w:szCs w:val="30"/>
        </w:rPr>
      </w:pP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          </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 （发包人名称）：</w:t>
      </w:r>
      <w:r/>
    </w:p>
    <w:p>
      <w:pPr>
        <w:spacing w:line="360" w:lineRule="exact"/>
        <w:rPr>
          <w:rFonts w:hint="eastAsia" w:ascii="宋体" w:hAnsi="宋体" w:eastAsia="宋体"/>
          <w:color w:val="000000"/>
          <w:sz w:val="28"/>
          <w:szCs w:val="30"/>
        </w:rPr>
      </w:pPr>
      <w:r>
        <w:rPr>
          <w:rFonts w:hint="eastAsia" w:ascii="宋体" w:hAnsi="宋体" w:eastAsia="宋体"/>
          <w:color w:val="000000"/>
          <w:sz w:val="28"/>
          <w:szCs w:val="30"/>
        </w:rPr>
      </w:r>
      <w:r/>
    </w:p>
    <w:p>
      <w:pPr>
        <w:ind w:firstLine="560"/>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根据</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                   </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（承包人名称）（以下称“承包人”）与</w:t>
      </w:r>
      <w:r>
        <w:rPr>
          <w:rFonts w:hint="eastAsia" w:ascii="宋体" w:hAnsi="宋体"/>
          <w:color w:val="000000"/>
          <w:sz w:val="28"/>
          <w:szCs w:val="30"/>
          <w:u w:val="single"/>
          <w:lang w:val="en-US" w:eastAsia="zh-CN"/>
        </w:rPr>
        <w:t xml:space="preserve">            </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（发包人名称）（以下简称“发包人”）</w:t>
      </w:r>
      <w:r/>
    </w:p>
    <w:p>
      <w:pPr>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于</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   </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年</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 </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月</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日签订的</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                   </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560"/>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1. 担保金额人民币（大写）</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元（¥</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w:t>
      </w:r>
      <w:r/>
    </w:p>
    <w:p>
      <w:pPr>
        <w:ind w:firstLine="560"/>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2. 担保有效期自预付款支付给承包人起生效，至你方签发的进度款支付证书说明已完全扣清止。</w:t>
      </w:r>
      <w:r/>
    </w:p>
    <w:p>
      <w:pPr>
        <w:ind w:firstLine="560"/>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560"/>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4. 你方和承包人按合同约定变更合同时，我方承担本保函规定的义务不变。</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5. 因本保函发生的纠纷，可由双方协商解决，协商不成的，任何一方均可提请</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仲裁委员会仲裁。</w:t>
      </w:r>
      <w:r/>
    </w:p>
    <w:p>
      <w:pPr>
        <w:ind w:firstLine="560"/>
        <w:jc w:val="left"/>
        <w:spacing w:line="360" w:lineRule="exact"/>
        <w:rPr>
          <w:rFonts w:hint="eastAsia" w:ascii="宋体" w:hAnsi="宋体" w:eastAsia="宋体"/>
          <w:color w:val="000000"/>
          <w:sz w:val="28"/>
          <w:szCs w:val="30"/>
          <w:lang w:val="en-US" w:eastAsia="zh-CN"/>
        </w:rPr>
      </w:pPr>
      <w:r>
        <w:rPr>
          <w:rFonts w:hint="eastAsia" w:ascii="宋体" w:hAnsi="宋体" w:eastAsia="宋体"/>
          <w:color w:val="000000"/>
          <w:sz w:val="28"/>
          <w:szCs w:val="30"/>
        </w:rPr>
        <w:t xml:space="preserve">6. 本保函自我方法定代表人（或其授权代理人）签字并加盖公章之日起生效。</w:t>
      </w:r>
      <w:r>
        <w:rPr>
          <w:rFonts w:hint="eastAsia" w:ascii="宋体" w:hAnsi="宋体"/>
          <w:color w:val="000000"/>
          <w:sz w:val="28"/>
          <w:szCs w:val="30"/>
          <w:lang w:val="en-US" w:eastAsia="zh-CN"/>
        </w:rPr>
        <w:t xml:space="preserve">/</w:t>
      </w:r>
      <w:r/>
    </w:p>
    <w:p>
      <w:pPr>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担保人：</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（盖单位章）</w:t>
      </w:r>
      <w:r/>
    </w:p>
    <w:p>
      <w:pPr>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法定代表人或其委托代理人</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（签字）</w:t>
      </w:r>
      <w:r/>
    </w:p>
    <w:p>
      <w:pPr>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地    址：</w:t>
      </w:r>
      <w:r>
        <w:rPr>
          <w:rFonts w:hint="eastAsia" w:ascii="宋体" w:hAnsi="宋体" w:eastAsia="宋体"/>
          <w:color w:val="000000"/>
          <w:sz w:val="28"/>
          <w:szCs w:val="30"/>
          <w:u w:val="single"/>
        </w:rPr>
        <w:tab/>
      </w:r>
      <w:r>
        <w:rPr>
          <w:rFonts w:hint="eastAsia" w:ascii="宋体" w:hAnsi="宋体" w:eastAsia="宋体"/>
          <w:color w:val="000000"/>
          <w:sz w:val="28"/>
          <w:szCs w:val="30"/>
          <w:u w:val="single"/>
        </w:rPr>
        <w:tab/>
      </w:r>
      <w:r>
        <w:rPr>
          <w:rFonts w:hint="eastAsia" w:ascii="宋体" w:hAnsi="宋体" w:eastAsia="宋体"/>
          <w:color w:val="000000"/>
          <w:sz w:val="28"/>
          <w:szCs w:val="30"/>
          <w:u w:val="single"/>
        </w:rPr>
        <w:t xml:space="preserve">  </w:t>
      </w:r>
      <w:r>
        <w:rPr>
          <w:rFonts w:hint="eastAsia" w:ascii="宋体" w:hAnsi="宋体" w:eastAsia="宋体"/>
          <w:color w:val="000000"/>
          <w:sz w:val="28"/>
          <w:szCs w:val="30"/>
          <w:u w:val="single"/>
        </w:rPr>
        <w:tab/>
      </w:r>
      <w:r>
        <w:rPr>
          <w:rFonts w:hint="eastAsia" w:ascii="宋体" w:hAnsi="宋体" w:eastAsia="宋体"/>
          <w:color w:val="000000"/>
          <w:sz w:val="28"/>
          <w:szCs w:val="30"/>
          <w:u w:val="single"/>
        </w:rPr>
        <w:tab/>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u w:val="single"/>
        </w:rPr>
        <w:tab/>
      </w:r>
      <w:r>
        <w:rPr>
          <w:rFonts w:hint="eastAsia" w:ascii="宋体" w:hAnsi="宋体" w:eastAsia="宋体"/>
          <w:color w:val="000000"/>
          <w:sz w:val="28"/>
          <w:szCs w:val="30"/>
          <w:u w:val="single"/>
        </w:rPr>
        <w:tab/>
      </w:r>
      <w:r/>
    </w:p>
    <w:p>
      <w:pPr>
        <w:spacing w:line="360" w:lineRule="exact"/>
        <w:rPr>
          <w:rFonts w:hint="eastAsia" w:ascii="宋体" w:hAnsi="宋体" w:eastAsia="宋体"/>
          <w:color w:val="000000"/>
          <w:sz w:val="28"/>
          <w:szCs w:val="30"/>
          <w:u w:val="single"/>
        </w:rPr>
      </w:pPr>
      <w:r>
        <w:rPr>
          <w:rFonts w:hint="eastAsia" w:ascii="宋体" w:hAnsi="宋体" w:eastAsia="宋体"/>
          <w:color w:val="000000"/>
          <w:sz w:val="28"/>
          <w:szCs w:val="30"/>
        </w:rPr>
        <w:t xml:space="preserve">邮政编码：</w:t>
      </w:r>
      <w:r>
        <w:rPr>
          <w:rFonts w:hint="eastAsia" w:ascii="宋体" w:hAnsi="宋体" w:eastAsia="宋体"/>
          <w:color w:val="000000"/>
          <w:sz w:val="28"/>
          <w:szCs w:val="30"/>
          <w:u w:val="single"/>
        </w:rPr>
        <w:tab/>
      </w:r>
      <w:r>
        <w:rPr>
          <w:rFonts w:hint="eastAsia" w:ascii="宋体" w:hAnsi="宋体" w:eastAsia="宋体"/>
          <w:color w:val="000000"/>
          <w:sz w:val="28"/>
          <w:szCs w:val="30"/>
          <w:u w:val="single"/>
        </w:rPr>
        <w:tab/>
      </w:r>
      <w:r>
        <w:rPr>
          <w:rFonts w:hint="eastAsia" w:ascii="宋体" w:hAnsi="宋体" w:eastAsia="宋体"/>
          <w:color w:val="000000"/>
          <w:sz w:val="28"/>
          <w:szCs w:val="30"/>
          <w:u w:val="single"/>
        </w:rPr>
        <w:t xml:space="preserve">  </w:t>
      </w:r>
      <w:r>
        <w:rPr>
          <w:rFonts w:hint="eastAsia" w:ascii="宋体" w:hAnsi="宋体" w:eastAsia="宋体"/>
          <w:color w:val="000000"/>
          <w:sz w:val="28"/>
          <w:szCs w:val="30"/>
          <w:u w:val="single"/>
        </w:rPr>
        <w:tab/>
      </w:r>
      <w:r>
        <w:rPr>
          <w:rFonts w:hint="eastAsia" w:ascii="宋体" w:hAnsi="宋体" w:eastAsia="宋体"/>
          <w:color w:val="000000"/>
          <w:sz w:val="28"/>
          <w:szCs w:val="30"/>
          <w:u w:val="single"/>
        </w:rPr>
        <w:tab/>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u w:val="single"/>
        </w:rPr>
        <w:tab/>
      </w:r>
      <w:r>
        <w:rPr>
          <w:rFonts w:hint="eastAsia" w:ascii="宋体" w:hAnsi="宋体" w:eastAsia="宋体"/>
          <w:color w:val="000000"/>
          <w:sz w:val="28"/>
          <w:szCs w:val="30"/>
          <w:u w:val="single"/>
        </w:rPr>
        <w:tab/>
      </w:r>
      <w:r/>
    </w:p>
    <w:p>
      <w:pPr>
        <w:spacing w:line="360" w:lineRule="exact"/>
        <w:rPr>
          <w:rFonts w:hint="eastAsia" w:ascii="宋体" w:hAnsi="宋体" w:eastAsia="宋体"/>
          <w:color w:val="000000"/>
          <w:sz w:val="28"/>
          <w:szCs w:val="30"/>
          <w:u w:val="single"/>
        </w:rPr>
      </w:pPr>
      <w:r>
        <w:rPr>
          <w:rFonts w:hint="eastAsia" w:ascii="宋体" w:hAnsi="宋体" w:eastAsia="宋体"/>
          <w:color w:val="000000"/>
          <w:sz w:val="28"/>
          <w:szCs w:val="30"/>
        </w:rPr>
        <w:t xml:space="preserve">电    话：</w:t>
      </w:r>
      <w:r>
        <w:rPr>
          <w:rFonts w:hint="eastAsia" w:ascii="宋体" w:hAnsi="宋体" w:eastAsia="宋体"/>
          <w:color w:val="000000"/>
          <w:sz w:val="28"/>
          <w:szCs w:val="30"/>
          <w:u w:val="single"/>
        </w:rPr>
        <w:tab/>
      </w:r>
      <w:r>
        <w:rPr>
          <w:rFonts w:hint="eastAsia" w:ascii="宋体" w:hAnsi="宋体" w:eastAsia="宋体"/>
          <w:color w:val="000000"/>
          <w:sz w:val="28"/>
          <w:szCs w:val="30"/>
          <w:u w:val="single"/>
        </w:rPr>
        <w:tab/>
      </w:r>
      <w:r>
        <w:rPr>
          <w:rFonts w:hint="eastAsia" w:ascii="宋体" w:hAnsi="宋体" w:eastAsia="宋体"/>
          <w:color w:val="000000"/>
          <w:sz w:val="28"/>
          <w:szCs w:val="30"/>
          <w:u w:val="single"/>
        </w:rPr>
        <w:t xml:space="preserve">  </w:t>
      </w:r>
      <w:r>
        <w:rPr>
          <w:rFonts w:hint="eastAsia" w:ascii="宋体" w:hAnsi="宋体" w:eastAsia="宋体"/>
          <w:color w:val="000000"/>
          <w:sz w:val="28"/>
          <w:szCs w:val="30"/>
          <w:u w:val="single"/>
        </w:rPr>
        <w:tab/>
      </w:r>
      <w:r>
        <w:rPr>
          <w:rFonts w:hint="eastAsia" w:ascii="宋体" w:hAnsi="宋体" w:eastAsia="宋体"/>
          <w:color w:val="000000"/>
          <w:sz w:val="28"/>
          <w:szCs w:val="30"/>
          <w:u w:val="single"/>
        </w:rPr>
        <w:tab/>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u w:val="single"/>
        </w:rPr>
        <w:tab/>
      </w:r>
      <w:r/>
    </w:p>
    <w:p>
      <w:pPr>
        <w:spacing w:line="360" w:lineRule="exact"/>
        <w:rPr>
          <w:rFonts w:hint="eastAsia" w:ascii="宋体" w:hAnsi="宋体" w:eastAsia="宋体"/>
          <w:color w:val="000000"/>
          <w:sz w:val="28"/>
          <w:szCs w:val="30"/>
          <w:u w:val="single"/>
        </w:rPr>
      </w:pPr>
      <w:r>
        <w:rPr>
          <w:rFonts w:hint="eastAsia" w:ascii="宋体" w:hAnsi="宋体" w:eastAsia="宋体"/>
          <w:color w:val="000000"/>
          <w:sz w:val="28"/>
          <w:szCs w:val="30"/>
        </w:rPr>
        <w:t xml:space="preserve">传    真：</w:t>
      </w:r>
      <w:r>
        <w:rPr>
          <w:rFonts w:hint="eastAsia" w:ascii="宋体" w:hAnsi="宋体" w:eastAsia="宋体"/>
          <w:color w:val="000000"/>
          <w:sz w:val="28"/>
          <w:szCs w:val="30"/>
          <w:u w:val="single"/>
        </w:rPr>
        <w:tab/>
      </w:r>
      <w:r>
        <w:rPr>
          <w:rFonts w:hint="eastAsia" w:ascii="宋体" w:hAnsi="宋体" w:eastAsia="宋体"/>
          <w:color w:val="000000"/>
          <w:sz w:val="28"/>
          <w:szCs w:val="30"/>
          <w:u w:val="single"/>
        </w:rPr>
        <w:tab/>
      </w:r>
      <w:r>
        <w:rPr>
          <w:rFonts w:hint="eastAsia" w:ascii="宋体" w:hAnsi="宋体" w:eastAsia="宋体"/>
          <w:color w:val="000000"/>
          <w:sz w:val="28"/>
          <w:szCs w:val="30"/>
          <w:u w:val="single"/>
        </w:rPr>
        <w:t xml:space="preserve">  </w:t>
      </w:r>
      <w:r>
        <w:rPr>
          <w:rFonts w:hint="eastAsia" w:ascii="宋体" w:hAnsi="宋体" w:eastAsia="宋体"/>
          <w:color w:val="000000"/>
          <w:sz w:val="28"/>
          <w:szCs w:val="30"/>
          <w:u w:val="single"/>
        </w:rPr>
        <w:tab/>
      </w:r>
      <w:r>
        <w:rPr>
          <w:rFonts w:hint="eastAsia" w:ascii="宋体" w:hAnsi="宋体" w:eastAsia="宋体"/>
          <w:color w:val="000000"/>
          <w:sz w:val="28"/>
          <w:szCs w:val="30"/>
          <w:u w:val="single"/>
        </w:rPr>
        <w:tab/>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u w:val="single"/>
        </w:rPr>
        <w:tab/>
      </w:r>
      <w:r/>
    </w:p>
    <w:p>
      <w:pPr>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  </w:t>
      </w:r>
      <w:r/>
    </w:p>
    <w:p>
      <w:pPr>
        <w:spacing w:line="360" w:lineRule="exact"/>
        <w:rPr>
          <w:rFonts w:hint="eastAsia" w:ascii="宋体" w:hAnsi="宋体" w:eastAsia="宋体"/>
          <w:color w:val="000000"/>
          <w:sz w:val="28"/>
          <w:szCs w:val="30"/>
          <w:u w:val="single"/>
        </w:rPr>
      </w:pPr>
      <w:r>
        <w:rPr>
          <w:rFonts w:hint="eastAsia" w:ascii="宋体" w:hAnsi="宋体" w:eastAsia="宋体"/>
          <w:color w:val="000000"/>
          <w:sz w:val="28"/>
          <w:szCs w:val="30"/>
          <w:u w:val="single"/>
        </w:rPr>
      </w:r>
      <w:r/>
    </w:p>
    <w:p>
      <w:pPr>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                     </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年</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月</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日</w:t>
      </w:r>
      <w:r/>
    </w:p>
    <w:p>
      <w:pPr>
        <w:spacing w:line="360" w:lineRule="exact"/>
        <w:rPr>
          <w:rFonts w:hint="eastAsia" w:ascii="宋体" w:hAnsi="宋体" w:eastAsia="宋体"/>
          <w:b/>
          <w:color w:val="000000"/>
          <w:sz w:val="28"/>
          <w:szCs w:val="30"/>
        </w:rPr>
      </w:pPr>
      <w:r>
        <w:rPr>
          <w:rFonts w:hint="eastAsia" w:ascii="宋体" w:hAnsi="宋体" w:eastAsia="宋体"/>
          <w:b/>
          <w:color w:val="000000"/>
          <w:sz w:val="28"/>
          <w:szCs w:val="30"/>
        </w:rPr>
        <w:br w:type="page" w:clear="all"/>
      </w:r>
      <w:r/>
    </w:p>
    <w:p>
      <w:pPr>
        <w:spacing w:line="360" w:lineRule="exact"/>
        <w:rPr>
          <w:rFonts w:hint="eastAsia" w:ascii="仿宋_GB2312" w:eastAsia="仿宋_GB2312"/>
          <w:color w:val="000000"/>
          <w:sz w:val="28"/>
          <w:szCs w:val="30"/>
        </w:rPr>
      </w:pPr>
      <w:r>
        <w:rPr>
          <w:rFonts w:hint="eastAsia" w:ascii="仿宋_GB2312" w:eastAsia="仿宋_GB2312"/>
          <w:color w:val="000000"/>
          <w:sz w:val="28"/>
          <w:szCs w:val="30"/>
        </w:rPr>
        <w:t xml:space="preserve">附</w:t>
      </w:r>
      <w:bookmarkStart w:id="574" w:name="_Toc296503233"/>
      <w:r/>
      <w:bookmarkStart w:id="575" w:name="_Toc296346734"/>
      <w:r/>
      <w:bookmarkStart w:id="576" w:name="_Toc296944572"/>
      <w:r/>
      <w:bookmarkStart w:id="577" w:name="_Toc296347232"/>
      <w:r/>
      <w:bookmarkStart w:id="578" w:name="_Toc296891273"/>
      <w:r/>
      <w:bookmarkStart w:id="579" w:name="_Toc296891061"/>
      <w:r>
        <w:rPr>
          <w:rFonts w:hint="eastAsia" w:ascii="仿宋_GB2312" w:eastAsia="仿宋_GB2312"/>
          <w:color w:val="000000"/>
          <w:sz w:val="28"/>
          <w:szCs w:val="30"/>
        </w:rPr>
        <w:t xml:space="preserve">件</w:t>
      </w:r>
      <w:r>
        <w:rPr>
          <w:rFonts w:hint="eastAsia" w:ascii="仿宋_GB2312" w:eastAsia="仿宋_GB2312"/>
          <w:color w:val="000000"/>
          <w:sz w:val="28"/>
          <w:szCs w:val="30"/>
          <w:lang w:val="en-US" w:eastAsia="zh-CN"/>
        </w:rPr>
        <w:t xml:space="preserve">6</w:t>
      </w:r>
      <w:r>
        <w:rPr>
          <w:rFonts w:hint="eastAsia" w:ascii="仿宋_GB2312" w:eastAsia="仿宋_GB2312"/>
          <w:color w:val="000000"/>
          <w:sz w:val="28"/>
          <w:szCs w:val="30"/>
        </w:rPr>
        <w:t xml:space="preserve">:  </w:t>
      </w:r>
      <w:bookmarkEnd w:id="574"/>
      <w:r/>
      <w:bookmarkEnd w:id="575"/>
      <w:r/>
      <w:bookmarkEnd w:id="576"/>
      <w:r/>
      <w:bookmarkEnd w:id="577"/>
      <w:r/>
      <w:bookmarkEnd w:id="578"/>
      <w:r/>
      <w:bookmarkEnd w:id="579"/>
      <w:r/>
      <w:r/>
    </w:p>
    <w:p>
      <w:pPr>
        <w:jc w:val="center"/>
        <w:spacing w:before="120" w:after="120"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支付担保</w:t>
      </w:r>
      <w:r/>
    </w:p>
    <w:p>
      <w:pPr>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             </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（承包人）：</w:t>
      </w:r>
      <w:r/>
    </w:p>
    <w:p>
      <w:pPr>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鉴于你方作为承包人已经与</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            </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（发包人名称）（以下称“发包人”）于</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  </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年</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  </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月</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 </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日签订了</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           </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（工程名称）《建设工程施工合同》（以下称“主合同”），应发包人的申请，我方愿就发包人履行主合同约定的工程款支付义务以保证的方式向你方提供如下担保：</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一、保证的范围及保证金额</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1. 我方的保证范围是主合同约定的工程款。</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2. 本保函所称主合同约定的工程款是指主合同约定的除工程质量保证金以外的合同价款。</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3. 我方保证的金额是主合同约定的工程款的</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%，数额最高不超过人民币元（大写：</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二、保证的方式及保证期间</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1. 我方保证的方式为：连带责任保证。</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2. 我方保证的期间为：自本合同生效之日起至主合同约定的工程款支付完毕之日后</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日内。</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3. 你方与发包人协议变更工程款支付日期的，经我方书面同意后，保证期间按照变更后的支付日期做相应调整。</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三、承担保证责任的形式</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我方承担保证责任的形式是代为支付。发包人未按主合同约定向你方支付工程款的，由我方在保证金额内代为支付。</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四、代偿的安排</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1. 你方要求我方承担保证责任的，应向我方发出书面索赔通知及发包人未支付主合同约定工程款的证明材料。索赔通知应写明要求索赔的金额，支付款项应到达的账号。</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3. 我方收到你方的书面索赔通知及相应的证明材料后７天内无条件支付。</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五、保证责任的解除</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1. 在本保函承诺的保证期间内，你方未书面向我方主张保证责任的，自保证期间届满次日起，我方保证责任解除。</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2. 发包人按主合同约定履行了工程款的全部支付义务的，自本保函承诺的保证期间届满次日起，我方保证责任解除。</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3. 我方按照本保函向你方履行保证责任所支付金额达到本保函保证金额时，自我方向你方支付（支付款项从我方账户划出）之日起，保证责任即解除。</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4. 按照法律法规的规定或出现应解除我方保证责任的其他情形的，我方在本保函项下的保证责任亦解除。</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5. 我方解除保证责任后，你方应自我方保证责任解除之日起</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个工作日内，将本保函原件返还我方。</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六、免责条款</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1. 因你方违约致使发包人不能履行义务的，我方不承担保证责任。</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2. 依照法律法规的规定或你方与发包人的另行约定，免除发包人部分或全部义务的，我方亦免除其相应的保证责任。</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4. 因不可抗力造成发包人不能履行义务的，我方不承担保证责任。</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七、争议解决</w:t>
      </w:r>
      <w:r/>
    </w:p>
    <w:p>
      <w:pPr>
        <w:ind w:firstLine="560"/>
        <w:spacing w:after="120" w:line="360" w:lineRule="exact"/>
        <w:rPr>
          <w:rFonts w:hint="eastAsia" w:ascii="宋体" w:hAnsi="宋体" w:eastAsia="宋体"/>
          <w:color w:val="000000"/>
          <w:sz w:val="28"/>
          <w:szCs w:val="32"/>
        </w:rPr>
      </w:pPr>
      <w:r>
        <w:rPr>
          <w:rFonts w:hint="eastAsia" w:ascii="宋体" w:hAnsi="宋体" w:eastAsia="宋体"/>
          <w:color w:val="000000"/>
          <w:sz w:val="28"/>
          <w:szCs w:val="30"/>
        </w:rPr>
        <w:t xml:space="preserve">因本保函或本保函相关事项发生的纠纷，可由双方协商解决，协商不成的，</w:t>
      </w:r>
      <w:r>
        <w:rPr>
          <w:rFonts w:hint="eastAsia" w:ascii="宋体" w:hAnsi="宋体" w:eastAsia="宋体"/>
          <w:color w:val="000000"/>
          <w:sz w:val="28"/>
          <w:szCs w:val="32"/>
        </w:rPr>
        <w:t xml:space="preserve">按下列第</w:t>
      </w:r>
      <w:r>
        <w:rPr>
          <w:rFonts w:hint="eastAsia" w:ascii="宋体" w:hAnsi="宋体" w:eastAsia="宋体"/>
          <w:color w:val="000000"/>
          <w:sz w:val="28"/>
          <w:szCs w:val="32"/>
          <w:u w:val="single"/>
        </w:rPr>
        <w:t xml:space="preserve"> （1）（2）  </w:t>
      </w:r>
      <w:r>
        <w:rPr>
          <w:rFonts w:hint="eastAsia" w:ascii="宋体" w:hAnsi="宋体" w:eastAsia="宋体"/>
          <w:color w:val="000000"/>
          <w:sz w:val="28"/>
          <w:szCs w:val="32"/>
        </w:rPr>
        <w:t xml:space="preserve">种方式解决：</w:t>
      </w:r>
      <w:r/>
    </w:p>
    <w:p>
      <w:pPr>
        <w:ind w:firstLine="560"/>
        <w:jc w:val="left"/>
        <w:spacing w:line="360" w:lineRule="exact"/>
        <w:rPr>
          <w:rFonts w:hint="eastAsia" w:ascii="宋体" w:hAnsi="宋体" w:eastAsia="宋体"/>
          <w:color w:val="000000"/>
          <w:sz w:val="28"/>
          <w:szCs w:val="32"/>
        </w:rPr>
      </w:pPr>
      <w:r>
        <w:rPr>
          <w:rFonts w:hint="eastAsia" w:ascii="宋体" w:hAnsi="宋体" w:eastAsia="宋体"/>
          <w:color w:val="000000"/>
          <w:sz w:val="28"/>
          <w:szCs w:val="32"/>
        </w:rPr>
        <w:t xml:space="preserve">（1）向</w:t>
      </w:r>
      <w:r>
        <w:rPr>
          <w:rFonts w:hint="eastAsia" w:ascii="宋体" w:hAnsi="宋体" w:eastAsia="宋体"/>
          <w:color w:val="000000"/>
          <w:sz w:val="28"/>
          <w:szCs w:val="32"/>
          <w:u w:val="single"/>
        </w:rPr>
        <w:t xml:space="preserve">          </w:t>
      </w:r>
      <w:r>
        <w:rPr>
          <w:rFonts w:hint="eastAsia" w:ascii="宋体" w:hAnsi="宋体"/>
          <w:color w:val="000000"/>
          <w:sz w:val="28"/>
          <w:szCs w:val="32"/>
          <w:u w:val="single"/>
          <w:lang w:val="en-US" w:eastAsia="zh-CN"/>
        </w:rPr>
        <w:t xml:space="preserve">工程所在地</w:t>
      </w:r>
      <w:r>
        <w:rPr>
          <w:rFonts w:hint="eastAsia" w:ascii="宋体" w:hAnsi="宋体" w:eastAsia="宋体"/>
          <w:color w:val="000000"/>
          <w:sz w:val="28"/>
          <w:szCs w:val="32"/>
          <w:u w:val="single"/>
        </w:rPr>
        <w:t xml:space="preserve">          </w:t>
      </w:r>
      <w:r>
        <w:rPr>
          <w:rFonts w:hint="eastAsia" w:ascii="宋体" w:hAnsi="宋体" w:eastAsia="宋体"/>
          <w:color w:val="000000"/>
          <w:sz w:val="28"/>
          <w:szCs w:val="32"/>
        </w:rPr>
        <w:t xml:space="preserve">仲裁委员会申请仲裁；</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2"/>
        </w:rPr>
        <w:t xml:space="preserve">（2）向</w:t>
      </w:r>
      <w:r>
        <w:rPr>
          <w:rFonts w:hint="eastAsia" w:ascii="宋体" w:hAnsi="宋体" w:eastAsia="宋体"/>
          <w:color w:val="000000"/>
          <w:sz w:val="28"/>
          <w:szCs w:val="32"/>
          <w:u w:val="single"/>
        </w:rPr>
        <w:t xml:space="preserve">         </w:t>
      </w:r>
      <w:r>
        <w:rPr>
          <w:rFonts w:hint="eastAsia" w:ascii="宋体" w:hAnsi="宋体"/>
          <w:color w:val="000000"/>
          <w:sz w:val="28"/>
          <w:szCs w:val="32"/>
          <w:u w:val="single"/>
          <w:lang w:val="en-US" w:eastAsia="zh-CN"/>
        </w:rPr>
        <w:t xml:space="preserve">工程所在地</w:t>
      </w:r>
      <w:r>
        <w:rPr>
          <w:rFonts w:hint="eastAsia" w:ascii="宋体" w:hAnsi="宋体" w:eastAsia="宋体"/>
          <w:color w:val="000000"/>
          <w:sz w:val="28"/>
          <w:szCs w:val="32"/>
          <w:u w:val="single"/>
        </w:rPr>
        <w:t xml:space="preserve">       </w:t>
      </w:r>
      <w:r>
        <w:rPr>
          <w:rFonts w:hint="eastAsia" w:ascii="宋体" w:hAnsi="宋体" w:eastAsia="宋体"/>
          <w:color w:val="000000"/>
          <w:sz w:val="28"/>
          <w:szCs w:val="32"/>
        </w:rPr>
        <w:t xml:space="preserve">人民法院起诉。</w:t>
      </w:r>
      <w:r/>
    </w:p>
    <w:p>
      <w:pPr>
        <w:ind w:firstLine="56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八、保函的生效</w:t>
      </w:r>
      <w:r/>
    </w:p>
    <w:p>
      <w:pPr>
        <w:ind w:firstLine="560"/>
        <w:jc w:val="left"/>
        <w:spacing w:line="360" w:lineRule="exact"/>
        <w:rPr>
          <w:rFonts w:hint="eastAsia" w:ascii="宋体" w:hAnsi="宋体" w:eastAsia="宋体"/>
          <w:color w:val="000000"/>
          <w:sz w:val="28"/>
          <w:szCs w:val="30"/>
          <w:lang w:val="en-US" w:eastAsia="zh-CN"/>
        </w:rPr>
      </w:pPr>
      <w:r>
        <w:rPr>
          <w:rFonts w:hint="eastAsia" w:ascii="宋体" w:hAnsi="宋体" w:eastAsia="宋体"/>
          <w:color w:val="000000"/>
          <w:sz w:val="28"/>
          <w:szCs w:val="30"/>
        </w:rPr>
        <w:t xml:space="preserve">本保函自我方法定代表人（或其授权代理人）签字并加盖公章之日起生效。</w:t>
      </w:r>
      <w:r/>
    </w:p>
    <w:p>
      <w:pPr>
        <w:ind w:right="600"/>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担保人：</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（盖章）</w:t>
      </w:r>
      <w:r/>
    </w:p>
    <w:p>
      <w:pPr>
        <w:ind w:right="1200"/>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法定代表人或委托代理人：</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（签字）</w:t>
      </w:r>
      <w:r/>
    </w:p>
    <w:p>
      <w:pPr>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地    址：</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p>
    <w:p>
      <w:pPr>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邮政编码：</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p>
    <w:p>
      <w:pPr>
        <w:jc w:val="left"/>
        <w:spacing w:line="360" w:lineRule="exact"/>
        <w:rPr>
          <w:rFonts w:hint="eastAsia" w:ascii="宋体" w:hAnsi="宋体" w:eastAsia="宋体"/>
          <w:color w:val="000000"/>
          <w:sz w:val="28"/>
          <w:szCs w:val="30"/>
        </w:rPr>
      </w:pPr>
      <w:r>
        <w:rPr>
          <w:rFonts w:hint="eastAsia" w:ascii="宋体" w:hAnsi="宋体" w:eastAsia="宋体"/>
          <w:color w:val="000000"/>
          <w:sz w:val="28"/>
          <w:szCs w:val="30"/>
        </w:rPr>
        <w:t xml:space="preserve">传    真：</w:t>
      </w:r>
      <w:r>
        <w:rPr>
          <w:rFonts w:hint="eastAsia" w:ascii="宋体" w:hAnsi="宋体" w:eastAsia="宋体"/>
          <w:color w:val="000000"/>
          <w:sz w:val="28"/>
          <w:szCs w:val="30"/>
          <w:u w:val="single"/>
        </w:rPr>
        <w:t xml:space="preserve">                   </w:t>
      </w:r>
      <w:r>
        <w:rPr>
          <w:rFonts w:hint="eastAsia" w:ascii="宋体" w:hAnsi="宋体"/>
          <w:color w:val="000000"/>
          <w:sz w:val="28"/>
          <w:szCs w:val="30"/>
          <w:u w:val="single"/>
          <w:lang w:val="en-US" w:eastAsia="zh-CN"/>
        </w:rPr>
        <w:t xml:space="preserve">/</w:t>
      </w:r>
      <w:r>
        <w:rPr>
          <w:rFonts w:hint="eastAsia" w:ascii="宋体" w:hAnsi="宋体" w:eastAsia="宋体"/>
          <w:color w:val="000000"/>
          <w:sz w:val="28"/>
          <w:szCs w:val="30"/>
          <w:u w:val="single"/>
        </w:rPr>
        <w:t xml:space="preserve">                   </w:t>
      </w:r>
      <w:r/>
    </w:p>
    <w:p>
      <w:pPr>
        <w:ind w:right="150" w:firstLine="560"/>
        <w:jc w:val="left"/>
        <w:spacing w:line="360" w:lineRule="exact"/>
        <w:rPr>
          <w:rFonts w:hint="eastAsia" w:ascii="宋体" w:hAnsi="宋体" w:eastAsia="宋体"/>
          <w:color w:val="000000"/>
          <w:sz w:val="28"/>
          <w:szCs w:val="30"/>
          <w:u w:val="single"/>
        </w:rPr>
      </w:pPr>
      <w:r>
        <w:rPr>
          <w:rFonts w:hint="eastAsia" w:ascii="宋体" w:hAnsi="宋体" w:eastAsia="宋体"/>
          <w:color w:val="000000"/>
          <w:sz w:val="28"/>
          <w:szCs w:val="30"/>
          <w:u w:val="single"/>
        </w:rPr>
      </w:r>
      <w:r/>
    </w:p>
    <w:p>
      <w:pPr>
        <w:ind w:firstLine="470"/>
        <w:spacing w:line="400" w:lineRule="atLeast"/>
        <w:rPr>
          <w:rFonts w:ascii="宋体" w:hAnsi="宋体" w:cs="宋体"/>
          <w:color w:val="000000"/>
          <w:sz w:val="24"/>
          <w:lang w:val="zh-CN"/>
        </w:rPr>
      </w:pPr>
      <w:r>
        <w:rPr>
          <w:rFonts w:hint="eastAsia" w:ascii="宋体" w:hAnsi="宋体" w:eastAsia="宋体"/>
          <w:color w:val="000000"/>
          <w:sz w:val="28"/>
          <w:szCs w:val="30"/>
        </w:rPr>
        <w:t xml:space="preserve">           </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年</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月</w:t>
      </w:r>
      <w:r>
        <w:rPr>
          <w:rFonts w:hint="eastAsia" w:ascii="宋体" w:hAnsi="宋体" w:eastAsia="宋体"/>
          <w:color w:val="000000"/>
          <w:sz w:val="28"/>
          <w:szCs w:val="30"/>
          <w:u w:val="single"/>
        </w:rPr>
        <w:t xml:space="preserve">    </w:t>
      </w:r>
      <w:r>
        <w:rPr>
          <w:rFonts w:hint="eastAsia" w:ascii="宋体" w:hAnsi="宋体" w:eastAsia="宋体"/>
          <w:color w:val="000000"/>
          <w:sz w:val="28"/>
          <w:szCs w:val="30"/>
        </w:rPr>
        <w:t xml:space="preserve">日</w:t>
      </w:r>
      <w:r/>
    </w:p>
    <w:p>
      <w:pPr>
        <w:ind w:firstLine="470"/>
        <w:spacing w:line="400" w:lineRule="atLeast"/>
        <w:rPr>
          <w:rFonts w:ascii="宋体" w:hAnsi="宋体" w:cs="宋体"/>
          <w:color w:val="000000"/>
          <w:sz w:val="24"/>
          <w:lang w:val="zh-CN"/>
        </w:rPr>
      </w:pPr>
      <w:r>
        <w:rPr>
          <w:rFonts w:ascii="宋体" w:hAnsi="宋体" w:cs="宋体"/>
          <w:color w:val="000000"/>
          <w:sz w:val="24"/>
          <w:lang w:val="zh-CN"/>
        </w:rPr>
      </w:r>
      <w:r/>
    </w:p>
    <w:p>
      <w:pPr>
        <w:pStyle w:val="1318"/>
        <w:ind w:firstLine="1446"/>
        <w:widowControl/>
        <w:rPr>
          <w:rFonts w:ascii="宋体" w:hAnsi="宋体" w:cs="宋体"/>
          <w:b/>
          <w:color w:val="000000"/>
          <w:sz w:val="36"/>
          <w:szCs w:val="22"/>
        </w:rPr>
        <w:sectPr>
          <w:headerReference w:type="default" r:id="rId13"/>
          <w:footerReference w:type="default" r:id="rId23"/>
          <w:footnotePr/>
          <w:endnotePr/>
          <w:type w:val="nextPage"/>
          <w:pgSz w:w="11906" w:h="16838" w:orient="portrait"/>
          <w:pgMar w:top="851" w:right="1702" w:bottom="851" w:left="1804" w:header="851" w:footer="992" w:gutter="0"/>
          <w:cols w:num="1" w:sep="0" w:space="1701" w:equalWidth="1"/>
          <w:docGrid w:linePitch="360"/>
        </w:sectPr>
      </w:pPr>
      <w:r>
        <w:rPr>
          <w:rFonts w:ascii="宋体" w:hAnsi="宋体" w:cs="宋体"/>
          <w:b/>
          <w:color w:val="000000"/>
          <w:sz w:val="36"/>
          <w:szCs w:val="22"/>
        </w:rPr>
      </w:r>
      <w:r/>
    </w:p>
    <w:p>
      <w:pPr>
        <w:pStyle w:val="1336"/>
        <w:jc w:val="center"/>
        <w:spacing w:after="312" w:line="520" w:lineRule="exact"/>
        <w:rPr>
          <w:rFonts w:ascii="宋体" w:hAnsi="宋体" w:cs="宋体"/>
          <w:color w:val="000000" w:themeColor="text1"/>
          <w:sz w:val="30"/>
          <w:szCs w:val="30"/>
          <w:highlight w:val="none"/>
          <w14:textFill>
            <w14:solidFill>
              <w14:schemeClr w14:val="tx1"/>
            </w14:solidFill>
          </w14:textFill>
        </w:rPr>
      </w:pPr>
      <w:r>
        <w:rPr>
          <w:rFonts w:hint="eastAsia" w:hAnsi="宋体" w:cs="宋体"/>
          <w:b/>
          <w:bCs/>
          <w:color w:val="000000" w:themeColor="text1"/>
          <w:sz w:val="36"/>
          <w:szCs w:val="36"/>
          <w:highlight w:val="none"/>
          <w14:textFill>
            <w14:solidFill>
              <w14:schemeClr w14:val="tx1"/>
            </w14:solidFill>
          </w14:textFill>
        </w:rPr>
        <w:t xml:space="preserve">8、承诺书</w:t>
      </w:r>
      <w:r/>
    </w:p>
    <w:p>
      <w:pPr>
        <w:spacing w:line="288"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致</w:t>
      </w:r>
      <w:r>
        <w:rPr>
          <w:rFonts w:hint="eastAsia" w:ascii="宋体" w:hAnsi="宋体" w:cs="宋体"/>
          <w:b/>
          <w:bCs/>
          <w:color w:val="000000" w:themeColor="text1"/>
          <w:sz w:val="24"/>
          <w:highlight w:val="none"/>
          <w:u w:val="single"/>
          <w:lang w:eastAsia="zh-CN"/>
          <w14:textFill>
            <w14:solidFill>
              <w14:schemeClr w14:val="tx1"/>
            </w14:solidFill>
          </w14:textFill>
        </w:rPr>
        <w:t xml:space="preserve">沛县城市管理局</w:t>
      </w:r>
      <w:r>
        <w:rPr>
          <w:rFonts w:hint="eastAsia" w:ascii="宋体" w:hAnsi="宋体" w:cs="宋体"/>
          <w:b/>
          <w:bCs/>
          <w:color w:val="000000" w:themeColor="text1"/>
          <w:sz w:val="24"/>
          <w:highlight w:val="none"/>
          <w14:textFill>
            <w14:solidFill>
              <w14:schemeClr w14:val="tx1"/>
            </w14:solidFill>
          </w14:textFill>
        </w:rPr>
        <w:t xml:space="preserve">：</w:t>
      </w:r>
      <w:r/>
    </w:p>
    <w:p>
      <w:pPr>
        <w:pStyle w:val="1337"/>
        <w:ind w:firstLine="480"/>
        <w:spacing w:line="288"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1337"/>
        <w:ind w:firstLine="480"/>
        <w:spacing w:line="288"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根据贵方《</w:t>
      </w:r>
      <w:r>
        <w:rPr>
          <w:rFonts w:hint="eastAsia" w:ascii="宋体" w:hAnsi="宋体" w:cs="宋体"/>
          <w:bCs/>
          <w:color w:val="000000" w:themeColor="text1"/>
          <w:sz w:val="24"/>
          <w:szCs w:val="24"/>
          <w:highlight w:val="none"/>
          <w14:textFill>
            <w14:solidFill>
              <w14:schemeClr w14:val="tx1"/>
            </w14:solidFill>
          </w14:textFill>
        </w:rPr>
        <w:t xml:space="preserve">磋商文件</w:t>
      </w:r>
      <w:r>
        <w:rPr>
          <w:rFonts w:hint="eastAsia" w:ascii="宋体" w:hAnsi="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JSZC-320322-GHGL-C2025-0002</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）要求，本供应商正式提交以下首次响应文件。</w:t>
      </w:r>
      <w:r/>
    </w:p>
    <w:p>
      <w:pPr>
        <w:pStyle w:val="1337"/>
        <w:ind w:firstLine="480"/>
        <w:spacing w:line="288"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0"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000000" w:themeColor="text1"/>
          <w:sz w:val="24"/>
          <w:szCs w:val="24"/>
          <w:highlight w:val="none"/>
          <w14:textFill>
            <w14:solidFill>
              <w14:schemeClr w14:val="tx1"/>
            </w14:solidFill>
          </w14:textFill>
        </w:rPr>
        <w:t xml:space="preserve">（1）承诺书； </w:t>
      </w:r>
      <w:r/>
    </w:p>
    <w:p>
      <w:pPr>
        <w:pStyle w:val="1337"/>
        <w:ind w:firstLine="480"/>
        <w:spacing w:line="288"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（2）磋商报价表； </w:t>
      </w:r>
      <w:r/>
    </w:p>
    <w:p>
      <w:pPr>
        <w:pStyle w:val="1337"/>
        <w:ind w:firstLine="480"/>
        <w:spacing w:line="288"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（3）偏离表；</w:t>
      </w:r>
      <w:r/>
    </w:p>
    <w:p>
      <w:pPr>
        <w:pStyle w:val="1337"/>
        <w:ind w:firstLine="480"/>
        <w:spacing w:line="288"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（4）磋商</w:t>
      </w:r>
      <w:r>
        <w:rPr>
          <w:rFonts w:hint="eastAsia" w:ascii="宋体" w:hAnsi="宋体" w:cs="宋体"/>
          <w:bCs/>
          <w:color w:val="000000" w:themeColor="text1"/>
          <w:sz w:val="24"/>
          <w:szCs w:val="24"/>
          <w:highlight w:val="none"/>
          <w14:textFill>
            <w14:solidFill>
              <w14:schemeClr w14:val="tx1"/>
            </w14:solidFill>
          </w14:textFill>
        </w:rPr>
        <w:t xml:space="preserve">文件</w:t>
      </w:r>
      <w:r>
        <w:rPr>
          <w:rFonts w:hint="eastAsia" w:ascii="宋体" w:hAnsi="宋体" w:cs="宋体"/>
          <w:color w:val="000000" w:themeColor="text1"/>
          <w:sz w:val="24"/>
          <w:szCs w:val="24"/>
          <w:highlight w:val="none"/>
          <w14:textFill>
            <w14:solidFill>
              <w14:schemeClr w14:val="tx1"/>
            </w14:solidFill>
          </w14:textFill>
        </w:rPr>
        <w:t xml:space="preserve">要求提供的其他响应文件。</w:t>
      </w:r>
      <w:r/>
    </w:p>
    <w:p>
      <w:pPr>
        <w:pStyle w:val="1337"/>
        <w:ind w:firstLine="480"/>
        <w:spacing w:line="288"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我单位符合《中华人民共和国政府采购法》第二十二条的规定，符合本项目供应商资格要求。</w:t>
      </w:r>
      <w:r/>
    </w:p>
    <w:p>
      <w:pPr>
        <w:pStyle w:val="1337"/>
        <w:ind w:firstLine="480"/>
        <w:spacing w:line="288"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我单位按照磋商文件的要求编制响应文件，并对其提交的响应文件的真实性、合法性承担法律责任。</w:t>
      </w:r>
      <w:r/>
    </w:p>
    <w:p>
      <w:pPr>
        <w:ind w:right="29" w:firstLine="480"/>
        <w:spacing w:line="288"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供应商兹宣布同意如下: </w:t>
      </w:r>
      <w:r/>
    </w:p>
    <w:p>
      <w:pPr>
        <w:pStyle w:val="1337"/>
        <w:ind w:firstLine="480"/>
        <w:spacing w:line="288"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11"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12"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000000" w:themeColor="text1"/>
          <w:sz w:val="24"/>
          <w:szCs w:val="24"/>
          <w:highlight w:val="none"/>
          <w14:textFill>
            <w14:solidFill>
              <w14:schemeClr w14:val="tx1"/>
            </w14:solidFill>
          </w14:textFill>
        </w:rPr>
        <w:t xml:space="preserve">一、完全承担根据《磋商文件》规定完成合同的责任和义务（如有偏离，将全部填写在偏离表中）。</w:t>
      </w:r>
      <w:r/>
    </w:p>
    <w:p>
      <w:pPr>
        <w:pStyle w:val="1337"/>
        <w:ind w:firstLine="480"/>
        <w:spacing w:line="288"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3"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4"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themeColor="text1"/>
          <w:sz w:val="24"/>
          <w:szCs w:val="24"/>
          <w:highlight w:val="none"/>
          <w14:textFill>
            <w14:solidFill>
              <w14:schemeClr w14:val="tx1"/>
            </w14:solidFill>
          </w14:textFill>
        </w:rPr>
        <w:t xml:space="preserve">二、保证所提供的响应文件及所有材料的真实、合法、有效，并对其负责。</w:t>
      </w:r>
      <w:r/>
    </w:p>
    <w:p>
      <w:pPr>
        <w:ind w:firstLine="480"/>
        <w:spacing w:line="288"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right="29" w:firstLine="480"/>
        <w:spacing w:line="288"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四、所供货物保证符合国家有关产品质量、性能和安全标准，无权利瑕疵。</w:t>
      </w:r>
      <w:r/>
    </w:p>
    <w:p>
      <w:pPr>
        <w:ind w:right="29" w:firstLine="480"/>
        <w:spacing w:line="288"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五、报价有效期为30个工作日。</w:t>
      </w:r>
      <w:r/>
    </w:p>
    <w:p>
      <w:pPr>
        <w:ind w:right="29" w:firstLine="480"/>
        <w:spacing w:line="288"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ind w:right="29" w:firstLine="480"/>
        <w:spacing w:line="288"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七、完全理解贵方不一定要接受最低的报价或收到的任何报价。</w:t>
      </w:r>
      <w:r/>
    </w:p>
    <w:p>
      <w:pPr>
        <w:ind w:right="29" w:firstLine="480"/>
        <w:spacing w:line="288"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九、采购人有权对供应商的响应文件的真实性进行核实，如供应商不能在采购人规定的时间内向采购人提供有效的证明文件，将被采购人视为放弃中标（成交）资格。</w:t>
      </w:r>
      <w:r/>
    </w:p>
    <w:p>
      <w:pPr>
        <w:ind w:right="29" w:firstLine="480"/>
        <w:spacing w:line="288"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十、全完理解并接受招标文件中对中标服务费的规定。</w:t>
      </w:r>
      <w:r/>
    </w:p>
    <w:p>
      <w:pPr>
        <w:ind w:right="29"/>
        <w:spacing w:line="288"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right="29"/>
        <w:spacing w:line="288"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供应商（电子签章）：</w:t>
      </w:r>
      <w:r/>
    </w:p>
    <w:p>
      <w:pPr>
        <w:spacing w:line="288"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288"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p>
    <w:p>
      <w:pPr>
        <w:ind w:right="29"/>
        <w:spacing w:line="288"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right="29"/>
        <w:spacing w:line="288"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jc w:val="center"/>
        <w:rPr>
          <w:rFonts w:ascii="宋体" w:hAnsi="宋体" w:cs="宋体"/>
          <w:b/>
          <w:color w:val="000000" w:themeColor="text1"/>
          <w:sz w:val="36"/>
          <w:highlight w:val="none"/>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br w:type="page" w:clear="all"/>
      </w:r>
      <w:r>
        <w:rPr>
          <w:rFonts w:hint="eastAsia" w:ascii="宋体" w:hAnsi="宋体" w:cs="宋体"/>
          <w:b/>
          <w:bCs/>
          <w:color w:val="000000" w:themeColor="text1"/>
          <w:sz w:val="36"/>
          <w:szCs w:val="36"/>
          <w:highlight w:val="none"/>
          <w14:textFill>
            <w14:solidFill>
              <w14:schemeClr w14:val="tx1"/>
            </w14:solidFill>
          </w14:textFill>
        </w:rPr>
        <w:t xml:space="preserve">9、授权委托书</w:t>
      </w:r>
      <w:r/>
    </w:p>
    <w:p>
      <w:pPr>
        <w:spacing w:line="500" w:lineRule="exact"/>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委托人（全称）：</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  址：</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法定代表人：               </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统一社会信用代码：</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受托人：                  先生（女士）</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身份证号：</w:t>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兹委托（</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）全权代表我企业（公司）参与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智能化公厕改造项目（2025年城区公厕改造及维修工程）</w:t>
      </w:r>
      <w:r>
        <w:rPr>
          <w:rFonts w:hint="eastAsia" w:ascii="宋体" w:hAnsi="宋体" w:cs="宋体"/>
          <w:color w:val="000000" w:themeColor="text1"/>
          <w:sz w:val="28"/>
          <w:szCs w:val="28"/>
          <w:highlight w:val="none"/>
          <w14:textFill>
            <w14:solidFill>
              <w14:schemeClr w14:val="tx1"/>
            </w14:solidFill>
          </w14:textFill>
        </w:rPr>
        <w:t xml:space="preserve">[项目编号：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JSZC-320322-GHGL-C2025-0002</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]的磋商活动及签订合同。（</w:t>
      </w:r>
      <w:r>
        <w:rPr>
          <w:rFonts w:hint="eastAsia" w:ascii="宋体" w:hAnsi="宋体" w:cs="宋体"/>
          <w:b/>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）以我企业（公司）名义所为的行为及签署的文件，我企业（公司）均予以认可。有关法律责任均由我企业（公司）承担。（</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）无转委托权。</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委托期限自   年  月 日起至  年  月  日止。</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委托人（电子签章）：</w:t>
      </w:r>
      <w:r/>
    </w:p>
    <w:p>
      <w:pPr>
        <w:spacing w:line="360" w:lineRule="auto"/>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p>
      <w:pPr>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法定代表人（签字或盖章）：</w:t>
      </w:r>
      <w:r/>
    </w:p>
    <w:p>
      <w:pPr>
        <w:spacing w:line="360" w:lineRule="auto"/>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p>
      <w:pPr>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受托人联系方式：</w:t>
      </w:r>
      <w:r/>
    </w:p>
    <w:p>
      <w:pPr>
        <w:spacing w:line="360" w:lineRule="auto"/>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p>
      <w:pPr>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受托人（签字或盖章）：</w:t>
      </w:r>
      <w:r/>
    </w:p>
    <w:p>
      <w:pPr>
        <w:ind w:firstLine="4575"/>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年   月   日</w:t>
      </w:r>
      <w:r/>
    </w:p>
    <w:p>
      <w:pPr>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(受托人身份证扫描件附后)</w:t>
      </w:r>
      <w:r/>
    </w:p>
    <w:p>
      <w:pPr>
        <w:jc w:val="center"/>
        <w:spacing w:before="100" w:beforeAutospacing="1" w:after="100" w:afterAutospacing="1" w:line="450" w:lineRule="atLeast"/>
        <w:widowControl/>
        <w:rPr>
          <w:rFonts w:ascii="宋体" w:hAnsi="宋体" w:cs="宋体"/>
          <w:b/>
          <w:bCs/>
          <w:color w:val="000000" w:themeColor="text1"/>
          <w:sz w:val="36"/>
          <w:szCs w:val="36"/>
          <w:highlight w:val="none"/>
          <w14:textFill>
            <w14:solidFill>
              <w14:schemeClr w14:val="tx1"/>
            </w14:solidFill>
          </w14:textFill>
        </w:rPr>
        <w:sectPr>
          <w:headerReference w:type="default" r:id="rId14"/>
          <w:footerReference w:type="default" r:id="rId24"/>
          <w:footerReference w:type="first" r:id="rId25"/>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000000" w:themeColor="text1"/>
          <w:sz w:val="36"/>
          <w:szCs w:val="36"/>
          <w:highlight w:val="none"/>
          <w14:textFill>
            <w14:solidFill>
              <w14:schemeClr w14:val="tx1"/>
            </w14:solidFill>
          </w14:textFill>
        </w:rPr>
      </w:r>
      <w:r/>
    </w:p>
    <w:p>
      <w:pPr>
        <w:jc w:val="center"/>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10、具备履行合同所必需的设备和专业技术能力的书面声明（附证明材料）格式</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项目编号：</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供应商对声明的真实性负责。如有虚假，将依法承担相应责任。</w:t>
      </w:r>
      <w:r/>
    </w:p>
    <w:p>
      <w:pPr>
        <w:ind w:firstLine="560"/>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供应商郑重声明：供应商具备履行合同（项目名称：</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智能化公厕改造项目（2025年城区公厕改造及维修工程）</w:t>
      </w:r>
      <w:r>
        <w:rPr>
          <w:rFonts w:hint="eastAsia" w:ascii="宋体" w:hAnsi="宋体" w:cs="宋体"/>
          <w:color w:val="000000" w:themeColor="text1"/>
          <w:sz w:val="28"/>
          <w:szCs w:val="28"/>
          <w:highlight w:val="none"/>
          <w14:textFill>
            <w14:solidFill>
              <w14:schemeClr w14:val="tx1"/>
            </w14:solidFill>
          </w14:textFill>
        </w:rPr>
        <w:t xml:space="preserve">，项目编号：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JSZC-320322-GHGL-C2025-0002</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所必需的设备和专业技术能力，具体为：</w:t>
      </w:r>
      <w:r/>
    </w:p>
    <w:p>
      <w:pPr>
        <w:ind w:firstLine="482"/>
        <w:jc w:val="both"/>
        <w:spacing w:line="48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供应商资质类别和等级：供应商具备有效的</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建筑</w:t>
      </w:r>
      <w:r>
        <w:rPr>
          <w:rFonts w:hint="eastAsia" w:ascii="宋体" w:hAnsi="宋体" w:eastAsia="宋体" w:cs="宋体"/>
          <w:b/>
          <w:bCs/>
          <w:color w:val="000000" w:themeColor="text1"/>
          <w:sz w:val="24"/>
          <w:szCs w:val="24"/>
          <w:highlight w:val="none"/>
          <w14:textFill>
            <w14:solidFill>
              <w14:schemeClr w14:val="tx1"/>
            </w14:solidFill>
          </w14:textFill>
        </w:rPr>
        <w:t xml:space="preserve">工程施工总承包</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叁</w:t>
      </w:r>
      <w:r>
        <w:rPr>
          <w:rFonts w:hint="eastAsia" w:ascii="宋体" w:hAnsi="宋体" w:eastAsia="宋体" w:cs="宋体"/>
          <w:b/>
          <w:bCs/>
          <w:color w:val="000000" w:themeColor="text1"/>
          <w:sz w:val="24"/>
          <w:szCs w:val="24"/>
          <w:highlight w:val="none"/>
          <w14:textFill>
            <w14:solidFill>
              <w14:schemeClr w14:val="tx1"/>
            </w14:solidFill>
          </w14:textFill>
        </w:rPr>
        <w:t xml:space="preserve">级及以上资质，并具备合格有效的安全生产许可证；</w:t>
      </w:r>
      <w:r/>
    </w:p>
    <w:p>
      <w:pPr>
        <w:ind w:firstLine="482"/>
        <w:jc w:val="both"/>
        <w:spacing w:line="48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拟选派项目负责人应为本单位注册的</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建筑工</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程专业二级建造师</w:t>
      </w:r>
      <w:r>
        <w:rPr>
          <w:rFonts w:hint="eastAsia" w:ascii="宋体" w:hAnsi="宋体" w:eastAsia="宋体" w:cs="宋体"/>
          <w:b/>
          <w:bCs/>
          <w:color w:val="000000" w:themeColor="text1"/>
          <w:sz w:val="24"/>
          <w:szCs w:val="24"/>
          <w:highlight w:val="none"/>
          <w14:textFill>
            <w14:solidFill>
              <w14:schemeClr w14:val="tx1"/>
            </w14:solidFill>
          </w14:textFill>
        </w:rPr>
        <w:t xml:space="preserve">及安全生产考核合格证书（B证）；</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    必须设置独立的专职安全员，</w:t>
      </w:r>
      <w:r>
        <w:rPr>
          <w:rFonts w:ascii="宋体" w:hAnsi="宋体" w:eastAsia="宋体" w:cs="宋体"/>
          <w:b/>
          <w:bCs/>
          <w:color w:val="000000"/>
          <w:sz w:val="24"/>
        </w:rPr>
        <w:t xml:space="preserve">专职安全员具备有效的《安全生产考核合格证书》C证；</w:t>
      </w:r>
      <w:r/>
    </w:p>
    <w:p>
      <w:pPr>
        <w:pStyle w:val="1137"/>
        <w:ind w:firstLine="482"/>
        <w:spacing w:line="360" w:lineRule="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pStyle w:val="1138"/>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r>
      <w:r/>
    </w:p>
    <w:p>
      <w:pPr>
        <w:pStyle w:val="1138"/>
        <w:rPr>
          <w:rFonts w:ascii="宋体" w:hAnsi="宋体" w:eastAsia="宋体" w:cs="宋体"/>
          <w:b/>
          <w:bCs/>
          <w:color w:val="000000" w:themeColor="text1"/>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color w:val="000000" w:themeColor="text1"/>
          <w:highlight w:val="none"/>
          <w14:textFill>
            <w14:solidFill>
              <w14:schemeClr w14:val="tx1"/>
            </w14:solidFill>
          </w14:textFill>
        </w:rPr>
        <w:t xml:space="preserve">上述证明材料必须提供，否则按无效响应文件处理。</w:t>
      </w:r>
      <w:r/>
    </w:p>
    <w:p>
      <w:pPr>
        <w:jc w:val="center"/>
        <w:spacing w:before="100" w:beforeAutospacing="1" w:after="100" w:afterAutospacing="1" w:line="450" w:lineRule="atLeast"/>
        <w:widowControl/>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11、中小企业声明函</w:t>
      </w:r>
      <w:r/>
    </w:p>
    <w:p>
      <w:pPr>
        <w:spacing w:line="360" w:lineRule="auto"/>
        <w:rPr>
          <w:rFonts w:ascii="宋体" w:hAnsi="宋体" w:cs="宋体"/>
          <w:color w:val="000000" w:themeColor="text1"/>
          <w:spacing w:val="6"/>
          <w:sz w:val="28"/>
          <w:szCs w:val="28"/>
          <w:highlight w:val="none"/>
          <w:u w:val="singl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项目编号：</w:t>
      </w:r>
      <w:r/>
    </w:p>
    <w:p>
      <w:pPr>
        <w:spacing w:line="360" w:lineRule="auto"/>
        <w:rPr>
          <w:rFonts w:ascii="宋体" w:hAnsi="宋体" w:cs="宋体"/>
          <w:color w:val="000000" w:themeColor="text1"/>
          <w:spacing w:val="6"/>
          <w:sz w:val="28"/>
          <w:szCs w:val="28"/>
          <w:highlight w:val="none"/>
          <w:u w:val="singl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项目名称：</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沛县城市管理局</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的</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智能化公厕改造项目（2025年城区公厕改造及维修工程）</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采购活动，工程的施工单位全部为符合政策要求的中小企业。相关企业的具体情况如下：</w:t>
      </w:r>
      <w:r/>
    </w:p>
    <w:p>
      <w:pPr>
        <w:ind w:firstLine="560"/>
        <w:spacing w:line="360" w:lineRule="auto"/>
        <w:rPr>
          <w:rFonts w:ascii="宋体" w:hAnsi="宋体" w:cs="宋体"/>
          <w:b/>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智能化公厕改造项目（2025年城区公厕改造及维修工程）</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，属于</w:t>
      </w:r>
      <w:r>
        <w:rPr>
          <w:rFonts w:hint="eastAsia" w:ascii="宋体" w:hAnsi="宋体" w:cs="宋体"/>
          <w:color w:val="000000" w:themeColor="text1"/>
          <w:sz w:val="28"/>
          <w:szCs w:val="28"/>
          <w:highlight w:val="none"/>
          <w:u w:val="single"/>
          <w14:textFill>
            <w14:solidFill>
              <w14:schemeClr w14:val="tx1"/>
            </w14:solidFill>
          </w14:textFill>
        </w:rPr>
        <w:t xml:space="preserve">（建筑业）</w:t>
      </w:r>
      <w:r>
        <w:rPr>
          <w:rFonts w:hint="eastAsia" w:ascii="宋体" w:hAnsi="宋体" w:cs="宋体"/>
          <w:color w:val="000000" w:themeColor="text1"/>
          <w:sz w:val="28"/>
          <w:szCs w:val="28"/>
          <w:highlight w:val="none"/>
          <w14:textFill>
            <w14:solidFill>
              <w14:schemeClr w14:val="tx1"/>
            </w14:solidFill>
          </w14:textFill>
        </w:rPr>
        <w:t xml:space="preserve">； 承建（承接）企业为</w:t>
      </w:r>
      <w:r>
        <w:rPr>
          <w:rFonts w:hint="eastAsia" w:ascii="宋体" w:hAnsi="宋体" w:cs="宋体"/>
          <w:color w:val="000000" w:themeColor="text1"/>
          <w:sz w:val="28"/>
          <w:szCs w:val="28"/>
          <w:highlight w:val="none"/>
          <w:u w:val="single"/>
          <w14:textFill>
            <w14:solidFill>
              <w14:schemeClr w14:val="tx1"/>
            </w14:solidFill>
          </w14:textFill>
        </w:rPr>
        <w:t xml:space="preserve">（企业名称）</w:t>
      </w:r>
      <w:r>
        <w:rPr>
          <w:rFonts w:hint="eastAsia" w:ascii="宋体" w:hAnsi="宋体" w:cs="宋体"/>
          <w:color w:val="000000" w:themeColor="text1"/>
          <w:sz w:val="28"/>
          <w:szCs w:val="28"/>
          <w:highlight w:val="none"/>
          <w14:textFill>
            <w14:solidFill>
              <w14:schemeClr w14:val="tx1"/>
            </w14:solidFill>
          </w14:textFill>
        </w:rPr>
        <w:t xml:space="preserve">，从业人员</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人，营业收入为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万元，资产总额为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万元，</w:t>
      </w:r>
      <w:r>
        <w:rPr>
          <w:rFonts w:hint="eastAsia" w:ascii="宋体" w:hAnsi="宋体" w:cs="宋体"/>
          <w:b/>
          <w:color w:val="000000" w:themeColor="text1"/>
          <w:sz w:val="28"/>
          <w:szCs w:val="28"/>
          <w:highlight w:val="none"/>
          <w14:textFill>
            <w14:solidFill>
              <w14:schemeClr w14:val="tx1"/>
            </w14:solidFill>
          </w14:textFill>
        </w:rPr>
        <w:t xml:space="preserve">属于（□中型企业、□小型企业、□微型企业，请勾选！）；</w:t>
      </w:r>
      <w:r/>
    </w:p>
    <w:p>
      <w:pPr>
        <w:ind w:firstLine="560"/>
        <w:spacing w:line="360" w:lineRule="auto"/>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注：本项目采购属于</w:t>
      </w:r>
      <w:r>
        <w:rPr>
          <w:rFonts w:hint="eastAsia" w:ascii="宋体" w:hAnsi="宋体" w:cs="宋体"/>
          <w:b/>
          <w:bCs/>
          <w:color w:val="000000" w:themeColor="text1"/>
          <w:sz w:val="28"/>
          <w:szCs w:val="28"/>
          <w:highlight w:val="none"/>
          <w:u w:val="single"/>
          <w14:textFill>
            <w14:solidFill>
              <w14:schemeClr w14:val="tx1"/>
            </w14:solidFill>
          </w14:textFill>
        </w:rPr>
        <w:t xml:space="preserve">建筑业</w:t>
      </w:r>
      <w:r>
        <w:rPr>
          <w:rFonts w:hint="eastAsia" w:ascii="宋体" w:hAnsi="宋体" w:cs="宋体"/>
          <w:b/>
          <w:bCs/>
          <w:color w:val="000000" w:themeColor="text1"/>
          <w:sz w:val="28"/>
          <w:szCs w:val="28"/>
          <w:highlight w:val="none"/>
          <w14:textFill>
            <w14:solidFill>
              <w14:schemeClr w14:val="tx1"/>
            </w14:solidFill>
          </w14:textFill>
        </w:rPr>
        <w:t xml:space="preserve">。</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企业名称（电子签章）：</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日期： 年  月  日</w:t>
      </w:r>
      <w:r/>
    </w:p>
    <w:p>
      <w:pPr>
        <w:spacing w:line="360" w:lineRule="auto"/>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备注：</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为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2、从业人员、营业收入、资产总额填报供应商上一年度数据，无上一年度数据的新成立企业可不填报。</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3、成交人为小型、微型企业的，采购人或者其委托的采购代理机构有权随中标、成交结果同时公告其《中小企业声明函》，接受社会监督。</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4、执行江苏省财政厅关于进一步加大政府采购支持中小企业力度的通知（苏财购〔2022〕45号）的规定。</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5、供应商提供的《中小企业声明函》与事实不符的，依照《政府采购法》第七十七条第一款的规定追究法律责任。</w:t>
      </w:r>
      <w:r/>
    </w:p>
    <w:p>
      <w:pPr>
        <w:spacing w:line="360" w:lineRule="auto"/>
        <w:rPr>
          <w:rFonts w:ascii="宋体" w:hAnsi="宋体" w:cs="宋体"/>
          <w:color w:val="000000" w:themeColor="text1"/>
          <w:sz w:val="28"/>
          <w:szCs w:val="28"/>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5408" behindDoc="0" locked="0" layoutInCell="1" allowOverlap="1">
                <wp:simplePos x="0" y="0"/>
                <wp:positionH relativeFrom="column">
                  <wp:posOffset>1915795</wp:posOffset>
                </wp:positionH>
                <wp:positionV relativeFrom="paragraph">
                  <wp:posOffset>600075</wp:posOffset>
                </wp:positionV>
                <wp:extent cx="1889760" cy="3735070"/>
                <wp:effectExtent l="0" t="0" r="15240" b="17780"/>
                <wp:wrapNone/>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r/>
                      </pic:nvPicPr>
                      <pic:blipFill>
                        <a:blip r:embed="rId28"/>
                        <a:stretch/>
                      </pic:blipFill>
                      <pic:spPr bwMode="auto">
                        <a:xfrm>
                          <a:off x="0" y="0"/>
                          <a:ext cx="1889760" cy="373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5408;o:allowoverlap:true;o:allowincell:true;mso-position-horizontal-relative:text;margin-left:150.8pt;mso-position-horizontal:absolute;mso-position-vertical-relative:text;margin-top:47.2pt;mso-position-vertical:absolute;width:148.8pt;height:294.1pt;mso-wrap-distance-left:0.0pt;mso-wrap-distance-top:0.0pt;mso-wrap-distance-right:0.0pt;mso-wrap-distance-bottom:0.0pt;" stroked="f">
                <v:path textboxrect="0,0,0,0"/>
                <v:imagedata r:id="rId28" o:title=""/>
              </v:shape>
            </w:pict>
          </mc:Fallback>
        </mc:AlternateContent>
      </w:r>
      <w:r>
        <w:rPr>
          <w:rFonts w:hint="eastAsia" w:ascii="宋体" w:hAnsi="宋体" w:cs="宋体"/>
          <w:color w:val="000000" w:themeColor="text1"/>
          <w:sz w:val="28"/>
          <w:szCs w:val="28"/>
          <w:highlight w:val="none"/>
          <w14:textFill>
            <w14:solidFill>
              <w14:schemeClr w14:val="tx1"/>
            </w14:solidFill>
          </w14:textFill>
        </w:rPr>
        <w:t xml:space="preserve">6、《中小企业声明函》查询渠道用微信搜索“中小企业规模类型自测小程序”。</w:t>
      </w:r>
      <w:r/>
    </w:p>
    <w:p>
      <w:pPr>
        <w:jc w:val="center"/>
        <w:spacing w:line="360" w:lineRule="auto"/>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12、</w:t>
      </w:r>
      <w:r>
        <w:rPr>
          <w:rFonts w:hint="eastAsia" w:ascii="宋体" w:hAnsi="宋体" w:cs="宋体"/>
          <w:b/>
          <w:color w:val="000000" w:themeColor="text1"/>
          <w:sz w:val="36"/>
          <w:szCs w:val="36"/>
          <w:highlight w:val="none"/>
          <w14:textFill>
            <w14:solidFill>
              <w14:schemeClr w14:val="tx1"/>
            </w14:solidFill>
          </w14:textFill>
        </w:rPr>
        <w:t xml:space="preserve">供应商参加政府采购活动前3年内在经营活动中没有重大违法记录的书面声明</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840"/>
        <w:jc w:val="left"/>
        <w:spacing w:before="100" w:beforeAutospacing="1" w:after="100" w:afterAutospacing="1" w:line="360" w:lineRule="auto"/>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我单位在参加</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智能化公厕改造项目（2025年城区公厕改造及维修工程）</w:t>
      </w:r>
      <w:r>
        <w:rPr>
          <w:rFonts w:hint="eastAsia" w:ascii="宋体" w:hAnsi="宋体" w:cs="宋体"/>
          <w:color w:val="000000" w:themeColor="text1"/>
          <w:sz w:val="28"/>
          <w:szCs w:val="28"/>
          <w:highlight w:val="none"/>
          <w14:textFill>
            <w14:solidFill>
              <w14:schemeClr w14:val="tx1"/>
            </w14:solidFill>
          </w14:textFill>
        </w:rPr>
        <w:t xml:space="preserve">项目（项目编号：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JSZC-320322-GHGL-C2025-0002</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我单位对上述声明的真实性负责。如有虚假，将依法承担相应责任。</w:t>
      </w:r>
      <w:r/>
    </w:p>
    <w:p>
      <w:pPr>
        <w:ind w:right="29"/>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p>
    <w:p>
      <w:pPr>
        <w:ind w:right="29"/>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供应商（电子签章）：</w:t>
      </w:r>
      <w:r/>
    </w:p>
    <w:p>
      <w:pPr>
        <w:ind w:right="29"/>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right="29"/>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日期： 年  月  日</w:t>
      </w:r>
      <w:r/>
    </w:p>
    <w:p>
      <w:pPr>
        <w:pStyle w:val="1335"/>
        <w:ind w:left="239" w:firstLine="26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35"/>
        <w:ind w:left="239" w:firstLine="26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35"/>
        <w:ind w:left="239" w:firstLine="26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35"/>
        <w:ind w:left="239" w:firstLine="26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35"/>
        <w:ind w:left="239" w:firstLine="26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35"/>
        <w:ind w:left="239" w:firstLine="26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35"/>
        <w:ind w:left="239" w:firstLine="26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35"/>
        <w:ind w:left="239" w:firstLine="26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35"/>
        <w:ind w:left="239" w:firstLine="26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88" w:lineRule="exact"/>
        <w:rPr>
          <w:rFonts w:ascii="宋体" w:hAnsi="宋体" w:cs="宋体"/>
          <w:b/>
          <w:color w:val="000000" w:themeColor="text1"/>
          <w:sz w:val="36"/>
          <w:szCs w:val="36"/>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000000" w:themeColor="text1"/>
          <w:sz w:val="36"/>
          <w:szCs w:val="36"/>
          <w:highlight w:val="none"/>
          <w14:textFill>
            <w14:solidFill>
              <w14:schemeClr w14:val="tx1"/>
            </w14:solidFill>
          </w14:textFill>
        </w:rPr>
      </w:r>
      <w:r/>
    </w:p>
    <w:p>
      <w:pPr>
        <w:jc w:val="center"/>
        <w:spacing w:line="360" w:lineRule="auto"/>
        <w:rPr>
          <w:rFonts w:ascii="宋体" w:hAnsi="宋体" w:cs="宋体"/>
          <w:b/>
          <w:bCs/>
          <w:color w:val="000000" w:themeColor="text1"/>
          <w:sz w:val="36"/>
          <w:szCs w:val="36"/>
          <w:highlight w:val="none"/>
          <w14:textFill>
            <w14:solidFill>
              <w14:schemeClr w14:val="tx1"/>
            </w14:solidFill>
          </w14:textFill>
        </w:rPr>
      </w:pPr>
      <w:r/>
      <w:bookmarkStart w:id="580" w:name="OLE_LINK14"/>
      <w:r/>
      <w:bookmarkStart w:id="581" w:name="OLE_LINK13"/>
      <w:r>
        <w:rPr>
          <w:rFonts w:hint="eastAsia" w:ascii="宋体" w:hAnsi="宋体" w:cs="宋体"/>
          <w:b/>
          <w:bCs/>
          <w:color w:val="000000" w:themeColor="text1"/>
          <w:sz w:val="36"/>
          <w:szCs w:val="36"/>
          <w:highlight w:val="none"/>
          <w14:textFill>
            <w14:solidFill>
              <w14:schemeClr w14:val="tx1"/>
            </w14:solidFill>
          </w14:textFill>
        </w:rPr>
        <w:t xml:space="preserve">13、残疾人福利性单位声明函</w:t>
      </w:r>
      <w:bookmarkEnd w:id="580"/>
      <w:r/>
      <w:bookmarkEnd w:id="581"/>
      <w:r/>
      <w:r/>
    </w:p>
    <w:p>
      <w:pPr>
        <w:jc w:val="center"/>
        <w:spacing w:line="0"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0"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（注：如供应商不属于残疾人福利性单位，不需提供此声明函）</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项目编号：</w:t>
      </w:r>
      <w:r/>
    </w:p>
    <w:p>
      <w:pPr>
        <w:spacing w:line="360" w:lineRule="auto"/>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项目名称：</w:t>
      </w:r>
      <w:r/>
    </w:p>
    <w:p>
      <w:pPr>
        <w:ind w:firstLine="584"/>
        <w:spacing w:line="360" w:lineRule="auto"/>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8"/>
          <w:szCs w:val="28"/>
          <w:highlight w:val="none"/>
          <w14:textFill>
            <w14:solidFill>
              <w14:schemeClr w14:val="tx1"/>
            </w14:solidFill>
          </w14:textFill>
        </w:rPr>
        <w:t xml:space="preserve">〔2017〕 141</w:t>
      </w:r>
      <w:r>
        <w:rPr>
          <w:rFonts w:hint="eastAsia" w:ascii="宋体" w:hAnsi="宋体" w:cs="宋体"/>
          <w:color w:val="000000" w:themeColor="text1"/>
          <w:spacing w:val="6"/>
          <w:sz w:val="28"/>
          <w:szCs w:val="28"/>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本单位对上述声明的真实性负责。如有虚假，将依法承担相应责任。</w:t>
      </w:r>
      <w:r/>
    </w:p>
    <w:p>
      <w:pPr>
        <w:ind w:right="1560" w:firstLine="584"/>
        <w:spacing w:line="360" w:lineRule="auto"/>
        <w:tabs>
          <w:tab w:val="left" w:pos="4860" w:leader="none"/>
        </w:tabs>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单位名称（电子签章）：</w:t>
      </w:r>
      <w:r/>
    </w:p>
    <w:p>
      <w:pPr>
        <w:ind w:right="1560" w:firstLine="584"/>
        <w:spacing w:line="360" w:lineRule="auto"/>
        <w:tabs>
          <w:tab w:val="left" w:pos="4860" w:leader="none"/>
        </w:tabs>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日  期：  年  月  日</w:t>
      </w:r>
      <w:r/>
    </w:p>
    <w:p>
      <w:pPr>
        <w:pStyle w:val="1324"/>
        <w:ind w:left="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560"/>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享受政府采购支持政策的残疾人福利性单位应当同时满足以下条件：</w:t>
      </w:r>
      <w:r/>
    </w:p>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（一）安置的残疾人占本单位在职职工人数的比例不低于25%（含25%），并且安置的残疾人人数不少于10人（含10人）；</w:t>
      </w:r>
      <w:r/>
    </w:p>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（二）依法与安置的每位残疾人签订了一年以上（含一年）的劳动合同或服务协议；</w:t>
      </w:r>
      <w:r/>
    </w:p>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（三）为安置的每位残疾人按月足额缴纳了基本养老保险、基本医疗保险、失业保险、工伤保险和生育保险等社会保险费；</w:t>
      </w:r>
      <w:r/>
    </w:p>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（四）通过银行等金融机构向安置的每位残疾人，按月支付了不低于单位所在区县适用的经省级人民政府批准的月最低工资标准的工资；</w:t>
      </w:r>
      <w:r/>
    </w:p>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具体以《财政部 民政部 中国残疾人联合会关于促进残疾人就业政府采购政策的通知》（财库〔2017〕141号）规定为准。</w:t>
      </w:r>
      <w:r/>
    </w:p>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说明：</w:t>
      </w:r>
      <w:r/>
    </w:p>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000000" w:themeColor="text1"/>
          <w:sz w:val="36"/>
          <w:szCs w:val="36"/>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000000" w:themeColor="text1"/>
          <w:sz w:val="36"/>
          <w:szCs w:val="36"/>
          <w:highlight w:val="none"/>
          <w14:textFill>
            <w14:solidFill>
              <w14:schemeClr w14:val="tx1"/>
            </w14:solidFill>
          </w14:textFill>
        </w:rPr>
      </w:r>
      <w:r/>
    </w:p>
    <w:p>
      <w:pPr>
        <w:jc w:val="center"/>
        <w:spacing w:line="360" w:lineRule="auto"/>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14、代理服务收费标准</w:t>
      </w:r>
      <w:r/>
    </w:p>
    <w:tbl>
      <w:tblPr>
        <w:tblStyle w:val="131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17"/>
        <w:gridCol w:w="2297"/>
      </w:tblGrid>
      <w:tr>
        <w:trPr>
          <w:trHeight w:val="488"/>
        </w:trPr>
        <w:tc>
          <w:tcPr>
            <w:tcW w:w="3618" w:type="pct"/>
            <w:vAlign w:val="top"/>
            <w:textDirection w:val="lrTb"/>
            <w:noWrap w:val="false"/>
          </w:tcPr>
          <w:p>
            <w:pPr>
              <w:pStyle w:val="1312"/>
              <w:ind w:left="974"/>
              <w:spacing w:before="168" w:line="219" w:lineRule="auto"/>
              <w:rPr>
                <w:color w:val="000000" w:themeColor="text1"/>
                <w:sz w:val="22"/>
                <w:szCs w:val="22"/>
                <w14:textFill>
                  <w14:solidFill>
                    <w14:schemeClr w14:val="tx1"/>
                  </w14:solidFill>
                </w14:textFill>
              </w:rPr>
            </w:pPr>
            <w:r>
              <w:rPr>
                <w:color w:val="000000" w:themeColor="text1"/>
                <w:spacing w:val="1"/>
                <w:sz w:val="22"/>
                <w:szCs w:val="22"/>
                <w14:textFill>
                  <w14:solidFill>
                    <w14:schemeClr w14:val="tx1"/>
                  </w14:solidFill>
                </w14:textFill>
              </w:rPr>
              <w:t xml:space="preserve">中标或者成交金额</w:t>
            </w:r>
            <w:r/>
          </w:p>
        </w:tc>
        <w:tc>
          <w:tcPr>
            <w:tcW w:w="1381" w:type="pct"/>
            <w:vAlign w:val="top"/>
            <w:textDirection w:val="lrTb"/>
            <w:noWrap w:val="false"/>
          </w:tcPr>
          <w:p>
            <w:pPr>
              <w:pStyle w:val="1312"/>
              <w:ind w:left="667"/>
              <w:spacing w:before="168" w:line="219" w:lineRule="auto"/>
              <w:rPr>
                <w:color w:val="000000" w:themeColor="text1"/>
                <w:sz w:val="22"/>
                <w:szCs w:val="22"/>
                <w14:textFill>
                  <w14:solidFill>
                    <w14:schemeClr w14:val="tx1"/>
                  </w14:solidFill>
                </w14:textFill>
              </w:rPr>
            </w:pPr>
            <w:r>
              <w:rPr>
                <w:color w:val="000000" w:themeColor="text1"/>
                <w:spacing w:val="7"/>
                <w:sz w:val="22"/>
                <w:szCs w:val="22"/>
                <w14:textFill>
                  <w14:solidFill>
                    <w14:schemeClr w14:val="tx1"/>
                  </w14:solidFill>
                </w14:textFill>
              </w:rPr>
              <w:t xml:space="preserve">费率</w:t>
            </w:r>
            <w:r/>
          </w:p>
        </w:tc>
      </w:tr>
      <w:tr>
        <w:trPr>
          <w:trHeight w:val="475"/>
        </w:trPr>
        <w:tc>
          <w:tcPr>
            <w:tcW w:w="3618" w:type="pct"/>
            <w:vAlign w:val="top"/>
            <w:textDirection w:val="lrTb"/>
            <w:noWrap w:val="false"/>
          </w:tcPr>
          <w:p>
            <w:pPr>
              <w:pStyle w:val="1312"/>
              <w:ind w:left="175"/>
              <w:spacing w:before="154" w:line="219" w:lineRule="auto"/>
              <w:rPr>
                <w:color w:val="000000" w:themeColor="text1"/>
                <w:sz w:val="22"/>
                <w:szCs w:val="22"/>
                <w14:textFill>
                  <w14:solidFill>
                    <w14:schemeClr w14:val="tx1"/>
                  </w14:solidFill>
                </w14:textFill>
              </w:rPr>
            </w:pPr>
            <w:r>
              <w:rPr>
                <w:color w:val="000000" w:themeColor="text1"/>
                <w:spacing w:val="4"/>
                <w:sz w:val="22"/>
                <w:szCs w:val="22"/>
                <w14:textFill>
                  <w14:solidFill>
                    <w14:schemeClr w14:val="tx1"/>
                  </w14:solidFill>
                </w14:textFill>
              </w:rPr>
              <w:t xml:space="preserve">最低收费金额(每个委托项目)</w:t>
            </w:r>
            <w:r/>
          </w:p>
        </w:tc>
        <w:tc>
          <w:tcPr>
            <w:tcW w:w="1381" w:type="pct"/>
            <w:vAlign w:val="top"/>
            <w:textDirection w:val="lrTb"/>
            <w:noWrap w:val="false"/>
          </w:tcPr>
          <w:p>
            <w:pPr>
              <w:pStyle w:val="1312"/>
              <w:ind w:left="507"/>
              <w:spacing w:before="155" w:line="220" w:lineRule="auto"/>
              <w:rPr>
                <w:color w:val="000000" w:themeColor="text1"/>
                <w:sz w:val="22"/>
                <w:szCs w:val="22"/>
                <w14:textFill>
                  <w14:solidFill>
                    <w14:schemeClr w14:val="tx1"/>
                  </w14:solidFill>
                </w14:textFill>
              </w:rPr>
            </w:pPr>
            <w:r>
              <w:rPr>
                <w:color w:val="000000" w:themeColor="text1"/>
                <w:spacing w:val="2"/>
                <w:sz w:val="22"/>
                <w:szCs w:val="22"/>
                <w14:textFill>
                  <w14:solidFill>
                    <w14:schemeClr w14:val="tx1"/>
                  </w14:solidFill>
                </w14:textFill>
              </w:rPr>
              <w:t xml:space="preserve">5000元</w:t>
            </w:r>
            <w:r/>
          </w:p>
        </w:tc>
      </w:tr>
      <w:tr>
        <w:trPr>
          <w:trHeight w:val="555"/>
        </w:trPr>
        <w:tc>
          <w:tcPr>
            <w:tcW w:w="3618" w:type="pct"/>
            <w:vAlign w:val="top"/>
            <w:textDirection w:val="lrTb"/>
            <w:noWrap w:val="false"/>
          </w:tcPr>
          <w:p>
            <w:pPr>
              <w:pStyle w:val="1312"/>
              <w:ind w:left="654"/>
              <w:spacing w:before="155" w:line="219"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50万元以下(含50万元)</w:t>
            </w:r>
            <w:r/>
          </w:p>
        </w:tc>
        <w:tc>
          <w:tcPr>
            <w:tcW w:w="1381" w:type="pct"/>
            <w:vAlign w:val="top"/>
            <w:textDirection w:val="lrTb"/>
            <w:noWrap w:val="false"/>
          </w:tcPr>
          <w:p>
            <w:pPr>
              <w:pStyle w:val="1312"/>
              <w:ind w:left="667"/>
              <w:spacing w:before="236" w:line="184" w:lineRule="auto"/>
              <w:rPr>
                <w:color w:val="000000" w:themeColor="text1"/>
                <w:sz w:val="22"/>
                <w:szCs w:val="22"/>
                <w14:textFill>
                  <w14:solidFill>
                    <w14:schemeClr w14:val="tx1"/>
                  </w14:solidFill>
                </w14:textFill>
              </w:rPr>
            </w:pPr>
            <w:r>
              <w:rPr>
                <w:color w:val="000000" w:themeColor="text1"/>
                <w:spacing w:val="-8"/>
                <w:sz w:val="22"/>
                <w:szCs w:val="22"/>
                <w14:textFill>
                  <w14:solidFill>
                    <w14:schemeClr w14:val="tx1"/>
                  </w14:solidFill>
                </w14:textFill>
              </w:rPr>
              <w:t xml:space="preserve">1.6%</w:t>
            </w:r>
            <w:r/>
          </w:p>
        </w:tc>
      </w:tr>
      <w:tr>
        <w:trPr>
          <w:trHeight w:val="556"/>
        </w:trPr>
        <w:tc>
          <w:tcPr>
            <w:tcW w:w="3618" w:type="pct"/>
            <w:vAlign w:val="top"/>
            <w:textDirection w:val="lrTb"/>
            <w:noWrap w:val="false"/>
          </w:tcPr>
          <w:p>
            <w:pPr>
              <w:pStyle w:val="1312"/>
              <w:ind w:left="575"/>
              <w:spacing w:before="156" w:line="219" w:lineRule="auto"/>
              <w:rPr>
                <w:color w:val="000000" w:themeColor="text1"/>
                <w:sz w:val="22"/>
                <w:szCs w:val="22"/>
                <w14:textFill>
                  <w14:solidFill>
                    <w14:schemeClr w14:val="tx1"/>
                  </w14:solidFill>
                </w14:textFill>
              </w:rPr>
            </w:pPr>
            <w:r>
              <w:rPr>
                <w:color w:val="000000" w:themeColor="text1"/>
                <w:spacing w:val="4"/>
                <w:sz w:val="22"/>
                <w:szCs w:val="22"/>
                <w14:textFill>
                  <w14:solidFill>
                    <w14:schemeClr w14:val="tx1"/>
                  </w14:solidFill>
                </w14:textFill>
              </w:rPr>
              <w:t xml:space="preserve">50-400万元(含400万元)</w:t>
            </w:r>
            <w:r/>
          </w:p>
        </w:tc>
        <w:tc>
          <w:tcPr>
            <w:tcW w:w="1381" w:type="pct"/>
            <w:vAlign w:val="top"/>
            <w:textDirection w:val="lrTb"/>
            <w:noWrap w:val="false"/>
          </w:tcPr>
          <w:p>
            <w:pPr>
              <w:pStyle w:val="1312"/>
              <w:ind w:left="667"/>
              <w:spacing w:before="237" w:line="184" w:lineRule="auto"/>
              <w:rPr>
                <w:color w:val="000000" w:themeColor="text1"/>
                <w:sz w:val="22"/>
                <w:szCs w:val="22"/>
                <w14:textFill>
                  <w14:solidFill>
                    <w14:schemeClr w14:val="tx1"/>
                  </w14:solidFill>
                </w14:textFill>
              </w:rPr>
            </w:pPr>
            <w:r>
              <w:rPr>
                <w:color w:val="000000" w:themeColor="text1"/>
                <w:spacing w:val="-7"/>
                <w:sz w:val="22"/>
                <w:szCs w:val="22"/>
                <w14:textFill>
                  <w14:solidFill>
                    <w14:schemeClr w14:val="tx1"/>
                  </w14:solidFill>
                </w14:textFill>
              </w:rPr>
              <w:t xml:space="preserve">1.5%</w:t>
            </w:r>
            <w:r/>
          </w:p>
        </w:tc>
      </w:tr>
      <w:tr>
        <w:trPr>
          <w:trHeight w:val="566"/>
        </w:trPr>
        <w:tc>
          <w:tcPr>
            <w:tcW w:w="3618" w:type="pct"/>
            <w:vAlign w:val="top"/>
            <w:textDirection w:val="lrTb"/>
            <w:noWrap w:val="false"/>
          </w:tcPr>
          <w:p>
            <w:pPr>
              <w:pStyle w:val="1312"/>
              <w:ind w:left="334"/>
              <w:spacing w:before="167" w:line="219"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400-1000万元(含1000万元)</w:t>
            </w:r>
            <w:r/>
          </w:p>
        </w:tc>
        <w:tc>
          <w:tcPr>
            <w:tcW w:w="1381" w:type="pct"/>
            <w:vAlign w:val="top"/>
            <w:textDirection w:val="lrTb"/>
            <w:noWrap w:val="false"/>
          </w:tcPr>
          <w:p>
            <w:pPr>
              <w:pStyle w:val="1312"/>
              <w:ind w:left="667"/>
              <w:spacing w:before="248" w:line="184"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1.1%</w:t>
            </w:r>
            <w:r/>
          </w:p>
        </w:tc>
      </w:tr>
      <w:tr>
        <w:trPr>
          <w:trHeight w:val="559"/>
        </w:trPr>
        <w:tc>
          <w:tcPr>
            <w:tcW w:w="3618" w:type="pct"/>
            <w:vAlign w:val="top"/>
            <w:textDirection w:val="lrTb"/>
            <w:noWrap w:val="false"/>
          </w:tcPr>
          <w:p>
            <w:pPr>
              <w:pStyle w:val="1312"/>
              <w:ind w:left="255"/>
              <w:spacing w:before="158" w:line="219"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1000-5000万元(含5000万元)</w:t>
            </w:r>
            <w:r/>
          </w:p>
        </w:tc>
        <w:tc>
          <w:tcPr>
            <w:tcW w:w="1381" w:type="pct"/>
            <w:vAlign w:val="top"/>
            <w:textDirection w:val="lrTb"/>
            <w:noWrap w:val="false"/>
          </w:tcPr>
          <w:p>
            <w:pPr>
              <w:pStyle w:val="1312"/>
              <w:ind w:left="667"/>
              <w:spacing w:before="240" w:line="183"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0.8%</w:t>
            </w:r>
            <w:r/>
          </w:p>
        </w:tc>
      </w:tr>
      <w:tr>
        <w:trPr>
          <w:trHeight w:val="560"/>
        </w:trPr>
        <w:tc>
          <w:tcPr>
            <w:tcW w:w="3618" w:type="pct"/>
            <w:vAlign w:val="top"/>
            <w:textDirection w:val="lrTb"/>
            <w:noWrap w:val="false"/>
          </w:tcPr>
          <w:p>
            <w:pPr>
              <w:pStyle w:val="1312"/>
              <w:ind w:left="735"/>
              <w:spacing w:before="159" w:line="219"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5000-1亿元(含1亿元)</w:t>
            </w:r>
            <w:r/>
          </w:p>
        </w:tc>
        <w:tc>
          <w:tcPr>
            <w:tcW w:w="1381" w:type="pct"/>
            <w:vAlign w:val="top"/>
            <w:textDirection w:val="lrTb"/>
            <w:noWrap w:val="false"/>
          </w:tcPr>
          <w:p>
            <w:pPr>
              <w:pStyle w:val="1312"/>
              <w:ind w:left="586"/>
              <w:spacing w:before="241" w:line="183" w:lineRule="auto"/>
              <w:rPr>
                <w:color w:val="000000" w:themeColor="text1"/>
                <w:sz w:val="22"/>
                <w:szCs w:val="22"/>
                <w14:textFill>
                  <w14:solidFill>
                    <w14:schemeClr w14:val="tx1"/>
                  </w14:solidFill>
                </w14:textFill>
              </w:rPr>
            </w:pPr>
            <w:r>
              <w:rPr>
                <w:color w:val="000000" w:themeColor="text1"/>
                <w:spacing w:val="-2"/>
                <w:sz w:val="22"/>
                <w:szCs w:val="22"/>
                <w14:textFill>
                  <w14:solidFill>
                    <w14:schemeClr w14:val="tx1"/>
                  </w14:solidFill>
                </w14:textFill>
              </w:rPr>
              <w:t xml:space="preserve">0.25%</w:t>
            </w:r>
            <w:r/>
          </w:p>
        </w:tc>
      </w:tr>
      <w:tr>
        <w:trPr>
          <w:trHeight w:val="570"/>
        </w:trPr>
        <w:tc>
          <w:tcPr>
            <w:tcW w:w="3618" w:type="pct"/>
            <w:vAlign w:val="top"/>
            <w:textDirection w:val="lrTb"/>
            <w:noWrap w:val="false"/>
          </w:tcPr>
          <w:p>
            <w:pPr>
              <w:pStyle w:val="1312"/>
              <w:ind w:left="815"/>
              <w:spacing w:before="170" w:line="219"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1-10亿元(含10亿元)</w:t>
            </w:r>
            <w:r/>
          </w:p>
        </w:tc>
        <w:tc>
          <w:tcPr>
            <w:tcW w:w="1381" w:type="pct"/>
            <w:vAlign w:val="top"/>
            <w:textDirection w:val="lrTb"/>
            <w:noWrap w:val="false"/>
          </w:tcPr>
          <w:p>
            <w:pPr>
              <w:pStyle w:val="1312"/>
              <w:ind w:left="586"/>
              <w:spacing w:before="252" w:line="183"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0.05%</w:t>
            </w:r>
            <w:r/>
          </w:p>
        </w:tc>
      </w:tr>
      <w:tr>
        <w:trPr>
          <w:trHeight w:val="562"/>
        </w:trPr>
        <w:tc>
          <w:tcPr>
            <w:tcW w:w="3618" w:type="pct"/>
            <w:vAlign w:val="top"/>
            <w:textDirection w:val="lrTb"/>
            <w:noWrap w:val="false"/>
          </w:tcPr>
          <w:p>
            <w:pPr>
              <w:pStyle w:val="1312"/>
              <w:ind w:left="735"/>
              <w:spacing w:before="162" w:line="219"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10-50亿元(含50亿元)</w:t>
            </w:r>
            <w:r/>
          </w:p>
        </w:tc>
        <w:tc>
          <w:tcPr>
            <w:tcW w:w="1381" w:type="pct"/>
            <w:vAlign w:val="top"/>
            <w:textDirection w:val="lrTb"/>
            <w:noWrap w:val="false"/>
          </w:tcPr>
          <w:p>
            <w:pPr>
              <w:pStyle w:val="1312"/>
              <w:ind w:left="586"/>
              <w:spacing w:before="243" w:line="184"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0.01%</w:t>
            </w:r>
            <w:r/>
          </w:p>
        </w:tc>
      </w:tr>
      <w:tr>
        <w:trPr>
          <w:trHeight w:val="415"/>
        </w:trPr>
        <w:tc>
          <w:tcPr>
            <w:tcW w:w="3618" w:type="pct"/>
            <w:vAlign w:val="top"/>
            <w:textDirection w:val="lrTb"/>
            <w:noWrap w:val="false"/>
          </w:tcPr>
          <w:p>
            <w:pPr>
              <w:pStyle w:val="1312"/>
              <w:ind w:left="1455"/>
              <w:spacing w:before="164" w:line="220" w:lineRule="auto"/>
              <w:rPr>
                <w:color w:val="000000" w:themeColor="text1"/>
                <w:sz w:val="22"/>
                <w:szCs w:val="22"/>
                <w14:textFill>
                  <w14:solidFill>
                    <w14:schemeClr w14:val="tx1"/>
                  </w14:solidFill>
                </w14:textFill>
              </w:rPr>
            </w:pPr>
            <w:r>
              <w:rPr>
                <w:color w:val="000000" w:themeColor="text1"/>
                <w:spacing w:val="2"/>
                <w:sz w:val="22"/>
                <w:szCs w:val="22"/>
                <w14:textFill>
                  <w14:solidFill>
                    <w14:schemeClr w14:val="tx1"/>
                  </w14:solidFill>
                </w14:textFill>
              </w:rPr>
              <w:t xml:space="preserve">50亿元以上</w:t>
            </w:r>
            <w:r/>
          </w:p>
        </w:tc>
        <w:tc>
          <w:tcPr>
            <w:tcW w:w="1381" w:type="pct"/>
            <w:vAlign w:val="top"/>
            <w:textDirection w:val="lrTb"/>
            <w:noWrap w:val="false"/>
          </w:tcPr>
          <w:p>
            <w:pPr>
              <w:pStyle w:val="1312"/>
              <w:ind w:left="507"/>
              <w:spacing w:before="245" w:line="183" w:lineRule="auto"/>
              <w:rPr>
                <w:color w:val="000000" w:themeColor="text1"/>
                <w:sz w:val="22"/>
                <w:szCs w:val="22"/>
                <w14:textFill>
                  <w14:solidFill>
                    <w14:schemeClr w14:val="tx1"/>
                  </w14:solidFill>
                </w14:textFill>
              </w:rPr>
            </w:pPr>
            <w:r>
              <w:rPr>
                <w:color w:val="000000" w:themeColor="text1"/>
                <w:spacing w:val="-2"/>
                <w:sz w:val="22"/>
                <w:szCs w:val="22"/>
                <w14:textFill>
                  <w14:solidFill>
                    <w14:schemeClr w14:val="tx1"/>
                  </w14:solidFill>
                </w14:textFill>
              </w:rPr>
              <w:t xml:space="preserve">0.005%</w:t>
            </w:r>
            <w:r/>
          </w:p>
        </w:tc>
      </w:tr>
    </w:tbl>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说明：</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1、按上表计算的收费为代理服务全过程的收费金额。各社会代理机构不再收取采购文件制作售卖费用。</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2、代理服务费按差额定率累进法计算。</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3、代理服务费基准金额（按差额定率累进法计算的）=中标金额（按差额定率累进法计算的）* 费率（%）*70%</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4、代理服务费应收取金额=代理服务费基准金额（按差额定率累进法计算的）的合计数。</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5、计算出的代理服务费应收取金额如低于5千元，按5千元收取；如高于15万元，按15万元收取。</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6、定点类等无金额或事先不能计算出价格总额的项目，按中标（成交）金额100万元计算服务费。</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7、多个采购包（标段）项目按总项目中标（成交）金额收费，最高不超过15万元。</w:t>
      </w:r>
      <w:r/>
    </w:p>
    <w:p>
      <w:pPr>
        <w:jc w:val="both"/>
        <w:spacing w:line="52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jc w:val="center"/>
        <w:spacing w:line="360" w:lineRule="auto"/>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15、预付款保函支付条款模板</w:t>
      </w:r>
      <w:r/>
    </w:p>
    <w:p>
      <w:pPr>
        <w:ind w:firstLine="565"/>
        <w:spacing w:line="480" w:lineRule="exact"/>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符合条件一：提交预付款保函的</w:t>
      </w:r>
      <w:r/>
    </w:p>
    <w:p>
      <w:pPr>
        <w:ind w:firstLine="482"/>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符合条件二：不提交预付款保函的</w:t>
      </w:r>
      <w:r/>
    </w:p>
    <w:p>
      <w:pPr>
        <w:ind w:firstLine="482"/>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ind w:left="140"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pStyle w:val="1324"/>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80"/>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14"/>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15"/>
      <w:footerReference w:type="default" r:id="rId2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楷体_GB2312">
    <w:panose1 w:val="02010609060101010101"/>
  </w:font>
  <w:font w:name="Cambria">
    <w:panose1 w:val="02040503050406030204"/>
  </w:font>
  <w:font w:name="Arial">
    <w:panose1 w:val="020B0604020202020204"/>
  </w:font>
  <w:font w:name="华文中宋">
    <w:panose1 w:val="02010600040101010101"/>
  </w:font>
  <w:font w:name="仿宋_GB2312">
    <w:panose1 w:val="02010609060101010101"/>
  </w:font>
  <w:font w:name="黑体">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rPr>
        <w:rStyle w:val="1339"/>
      </w:rPr>
      <w:framePr w:wrap="around" w:vAnchor="text" w:hAnchor="margin" w:xAlign="center" w:y="1"/>
    </w:pPr>
    <w:r>
      <w:fldChar w:fldCharType="begin"/>
    </w:r>
    <w:r>
      <w:rPr>
        <w:rStyle w:val="1339"/>
      </w:rPr>
      <w:instrText xml:space="preserve">PAGE  </w:instrText>
    </w:r>
    <w:r>
      <w:fldChar w:fldCharType="end"/>
    </w:r>
    <w:r/>
  </w:p>
  <w:p>
    <w:pPr>
      <w:pStyle w:val="13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57</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57</w:t>
                    </w:r>
                    <w:r>
                      <w:rPr>
                        <w:rFonts w:hint="eastAsia"/>
                        <w:sz w:val="18"/>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Style w:val="1157"/>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Style w:val="1157"/>
        <w:rFonts w:ascii="Times New Roman" w:hAnsi="Times New Roman" w:eastAsia="宋体" w:cs="Times New Roman"/>
        <w:sz w:val="18"/>
        <w:szCs w:val="18"/>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Style w:val="1157"/>
        <w:rFonts w:ascii="Times New Roman" w:hAnsi="Times New Roman" w:eastAsia="宋体" w:cs="Times New Roman"/>
        <w:sz w:val="18"/>
        <w:szCs w:val="18"/>
        <w:lang w:val="en-US" w:eastAsia="zh-CN" w:bidi="ar-SA"/>
      </w:rPr>
      <w:t xml:space="preserve">44</w: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both"/>
                            <w:spacing w:after="0" w:line="240" w:lineRule="auto"/>
                            <w:widowControl w:val="off"/>
                            <w:tabs>
                              <w:tab w:val="center" w:pos="7143" w:leader="none"/>
                              <w:tab w:val="right" w:pos="14287" w:leader="none"/>
                            </w:tabs>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fldChar w:fldCharType="begin"/>
                          </w:r>
                          <w:r>
                            <w:rPr>
                              <w:rFonts w:hint="eastAsia" w:ascii="Times New Roman" w:hAnsi="Times New Roman" w:eastAsia="宋体" w:cs="Times New Roman"/>
                              <w:sz w:val="21"/>
                              <w:szCs w:val="24"/>
                              <w:lang w:val="en-US" w:eastAsia="zh-CN" w:bidi="ar-SA"/>
                            </w:rPr>
                            <w:instrText xml:space="preserve"> PAGE  \* MERGEFORMAT </w:instrText>
                          </w:r>
                          <w:r>
                            <w:rPr>
                              <w:rFonts w:hint="eastAsia" w:ascii="Times New Roman" w:hAnsi="Times New Roman" w:eastAsia="宋体" w:cs="Times New Roman"/>
                              <w:sz w:val="21"/>
                              <w:szCs w:val="24"/>
                              <w:lang w:val="en-US" w:eastAsia="zh-CN" w:bidi="ar-SA"/>
                            </w:rPr>
                            <w:fldChar w:fldCharType="separate"/>
                          </w:r>
                          <w:r>
                            <w:rPr>
                              <w:rFonts w:hint="eastAsia" w:ascii="Times New Roman" w:hAnsi="Times New Roman" w:eastAsia="宋体" w:cs="Times New Roman"/>
                              <w:sz w:val="21"/>
                              <w:szCs w:val="24"/>
                              <w:lang w:val="en-US" w:eastAsia="zh-CN" w:bidi="ar-SA"/>
                            </w:rPr>
                            <w:t xml:space="preserve">1</w:t>
                          </w:r>
                          <w:r>
                            <w:rPr>
                              <w:rFonts w:hint="eastAsia"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fldChar w:fldCharType="begin"/>
                    </w:r>
                    <w:r>
                      <w:rPr>
                        <w:rFonts w:hint="eastAsia" w:ascii="Times New Roman" w:hAnsi="Times New Roman" w:eastAsia="宋体" w:cs="Times New Roman"/>
                        <w:sz w:val="21"/>
                        <w:szCs w:val="24"/>
                        <w:lang w:val="en-US" w:eastAsia="zh-CN" w:bidi="ar-SA"/>
                      </w:rPr>
                      <w:instrText xml:space="preserve"> PAGE  \* MERGEFORMAT </w:instrText>
                    </w:r>
                    <w:r>
                      <w:rPr>
                        <w:rFonts w:hint="eastAsia" w:ascii="Times New Roman" w:hAnsi="Times New Roman" w:eastAsia="宋体" w:cs="Times New Roman"/>
                        <w:sz w:val="21"/>
                        <w:szCs w:val="24"/>
                        <w:lang w:val="en-US" w:eastAsia="zh-CN" w:bidi="ar-SA"/>
                      </w:rPr>
                      <w:fldChar w:fldCharType="separate"/>
                    </w:r>
                    <w:r>
                      <w:rPr>
                        <w:rFonts w:hint="eastAsia" w:ascii="Times New Roman" w:hAnsi="Times New Roman" w:eastAsia="宋体" w:cs="Times New Roman"/>
                        <w:sz w:val="21"/>
                        <w:szCs w:val="24"/>
                        <w:lang w:val="en-US" w:eastAsia="zh-CN" w:bidi="ar-SA"/>
                      </w:rPr>
                      <w:t xml:space="preserve">1</w:t>
                    </w:r>
                    <w:r>
                      <w:rPr>
                        <w:rFonts w:hint="eastAsia"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tabs>
        <w:tab w:val="clear" w:pos="4153" w:leader="none"/>
        <w:tab w:val="center" w:pos="7143" w:leader="none"/>
        <w:tab w:val="clear" w:pos="8306" w:leader="none"/>
        <w:tab w:val="right" w:pos="14287"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widowControl/>
      <w:rPr>
        <w:rStyle w:val="1341"/>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p>
                    <w:r/>
                    <w:r/>
                  </w:p>
                  <w:p>
                    <w:r/>
                    <w:r/>
                  </w:p>
                </w:txbxContent>
              </v:textbox>
            </v:shape>
          </w:pict>
        </mc:Fallback>
      </mc:AlternateContent>
    </w:r>
    <w:r>
      <w:rPr>
        <w:rStyle w:val="1341"/>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37"/>
                            <w:widowControl/>
                            <w:tabs>
                              <w:tab w:val="clear" w:pos="4153" w:leader="none"/>
                              <w:tab w:val="clear" w:pos="8306" w:leader="none"/>
                            </w:tabs>
                            <w:rPr>
                              <w:rStyle w:val="1341"/>
                              <w:sz w:val="18"/>
                              <w:szCs w:val="18"/>
                            </w:rPr>
                          </w:pPr>
                          <w:r>
                            <w:rPr>
                              <w:sz w:val="18"/>
                              <w:szCs w:val="18"/>
                            </w:rPr>
                          </w:r>
                          <w:r/>
                        </w:p>
                        <w:p>
                          <w:pPr>
                            <w:widowControl/>
                            <w:rPr>
                              <w:rStyle w:val="1341"/>
                            </w:rPr>
                          </w:pPr>
                          <w:r/>
                          <w:r/>
                        </w:p>
                        <w:p>
                          <w:r/>
                          <w:r/>
                        </w:p>
                        <w:p>
                          <w:r/>
                          <w:r/>
                        </w:p>
                      </w:txbxContent>
                    </wps:txbx>
                    <wps:bodyPr wrap="square" lIns="0" tIns="0" rIns="0" bIns="0" upright="1"/>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37"/>
                      <w:widowControl/>
                      <w:tabs>
                        <w:tab w:val="clear" w:pos="4153" w:leader="none"/>
                        <w:tab w:val="clear" w:pos="8306" w:leader="none"/>
                      </w:tabs>
                      <w:rPr>
                        <w:rStyle w:val="1341"/>
                        <w:sz w:val="18"/>
                        <w:szCs w:val="18"/>
                      </w:rPr>
                    </w:pPr>
                    <w:r>
                      <w:rPr>
                        <w:sz w:val="18"/>
                        <w:szCs w:val="18"/>
                      </w:rPr>
                    </w:r>
                    <w:r/>
                  </w:p>
                  <w:p>
                    <w:pPr>
                      <w:widowControl/>
                      <w:rPr>
                        <w:rStyle w:val="1341"/>
                      </w:rPr>
                    </w:pPr>
                    <w:r/>
                    <w:r/>
                  </w:p>
                  <w:p>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20"/>
      </w:rPr>
    </w:pPr>
    <w:r>
      <w:rPr>
        <w:rFonts w:hint="default" w:ascii="Times New Roman" w:hAnsi="Times New Roman" w:eastAsia="宋体" w:cs="Times New Roman"/>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2569845</wp:posOffset>
              </wp:positionH>
              <wp:positionV relativeFrom="paragraph">
                <wp:posOffset>-21590</wp:posOffset>
              </wp:positionV>
              <wp:extent cx="188595" cy="284480"/>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188393" cy="284772"/>
                      </a:xfrm>
                      <a:prstGeom prst="rect">
                        <a:avLst/>
                      </a:prstGeom>
                      <a:noFill/>
                      <a:ln>
                        <a:noFill/>
                        <a:round/>
                      </a:ln>
                    </wps:spPr>
                    <wps:txbx>
                      <w:txbxContent>
                        <w:p>
                          <w:pPr>
                            <w:jc w:val="left"/>
                            <w:widowControl w:val="off"/>
                            <w:rPr>
                              <w:rFonts w:hint="default" w:ascii="Times New Roman" w:hAnsi="Times New Roman" w:eastAsia="宋体" w:cs="Times New Roman"/>
                              <w:sz w:val="18"/>
                              <w:szCs w:val="20"/>
                            </w:rPr>
                          </w:pPr>
                          <w:r>
                            <w:rPr>
                              <w:rFonts w:hint="default" w:ascii="Times New Roman" w:hAnsi="Times New Roman" w:eastAsia="宋体" w:cs="Times New Roman"/>
                              <w:sz w:val="18"/>
                              <w:szCs w:val="20"/>
                            </w:rPr>
                            <w:fldChar w:fldCharType="begin"/>
                          </w:r>
                          <w:r>
                            <w:rPr>
                              <w:rFonts w:hint="default" w:ascii="Times New Roman" w:hAnsi="Times New Roman" w:eastAsia="宋体" w:cs="Times New Roman"/>
                              <w:sz w:val="18"/>
                              <w:szCs w:val="20"/>
                            </w:rPr>
                            <w:instrText xml:space="preserve">PAGE \* MERGEFORMAT</w:instrText>
                          </w:r>
                          <w:r>
                            <w:rPr>
                              <w:rFonts w:hint="default" w:ascii="Times New Roman" w:hAnsi="Times New Roman" w:eastAsia="宋体" w:cs="Times New Roman"/>
                              <w:sz w:val="18"/>
                              <w:szCs w:val="20"/>
                            </w:rPr>
                            <w:fldChar w:fldCharType="separate"/>
                          </w:r>
                          <w:r>
                            <w:rPr>
                              <w:rFonts w:hint="default" w:ascii="Times New Roman" w:hAnsi="Times New Roman" w:eastAsia="宋体" w:cs="Times New Roman"/>
                              <w:sz w:val="18"/>
                              <w:szCs w:val="20"/>
                            </w:rPr>
                            <w:t xml:space="preserve">77</w:t>
                          </w:r>
                          <w:r>
                            <w:rPr>
                              <w:rFonts w:hint="default" w:ascii="Times New Roman" w:hAnsi="Times New Roman" w:eastAsia="宋体" w:cs="Times New Roman"/>
                              <w:sz w:val="18"/>
                              <w:szCs w:val="20"/>
                            </w:rPr>
                            <w:fldChar w:fldCharType="end"/>
                          </w:r>
                          <w:r/>
                        </w:p>
                        <w:p>
                          <w:pPr>
                            <w:jc w:val="both"/>
                            <w:widowControl w:val="off"/>
                            <w:rPr>
                              <w:rFonts w:hint="default" w:ascii="Times New Roman" w:hAnsi="Times New Roman" w:eastAsia="宋体" w:cs="Times New Roman"/>
                              <w:sz w:val="21"/>
                              <w:szCs w:val="24"/>
                            </w:rPr>
                          </w:pPr>
                          <w:r>
                            <w:rPr>
                              <w:rFonts w:hint="default" w:ascii="Times New Roman" w:hAnsi="Times New Roman" w:eastAsia="宋体" w:cs="Times New Roman"/>
                              <w:sz w:val="21"/>
                              <w:szCs w:val="24"/>
                            </w:rPr>
                          </w:r>
                          <w:r/>
                        </w:p>
                      </w:txbxContent>
                    </wps:txbx>
                    <wps:bodyPr wrap="square" lIns="0" tIns="0" rIns="0" bIns="0" upright="1">
                      <a:noAutofit/>
                    </wps:bodyPr>
                  </wps:wsp>
                </a:graphicData>
              </a:graphic>
            </wp:anchor>
          </w:drawing>
        </mc:Choice>
        <mc:Fallback>
          <w:pict>
            <v:shape id="shape 8" o:spid="_x0000_s8" o:spt="202" type="#_x0000_t202" style="position:absolute;z-index:251664384;o:allowoverlap:true;o:allowincell:true;mso-position-horizontal-relative:margin;margin-left:202.3pt;mso-position-horizontal:absolute;mso-position-vertical-relative:text;margin-top:-1.7pt;mso-position-vertical:absolute;width:14.8pt;height:22.4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20"/>
                      </w:rPr>
                    </w:pPr>
                    <w:r>
                      <w:rPr>
                        <w:rFonts w:hint="default" w:ascii="Times New Roman" w:hAnsi="Times New Roman" w:eastAsia="宋体" w:cs="Times New Roman"/>
                        <w:sz w:val="18"/>
                        <w:szCs w:val="20"/>
                      </w:rPr>
                      <w:fldChar w:fldCharType="begin"/>
                    </w:r>
                    <w:r>
                      <w:rPr>
                        <w:rFonts w:hint="default" w:ascii="Times New Roman" w:hAnsi="Times New Roman" w:eastAsia="宋体" w:cs="Times New Roman"/>
                        <w:sz w:val="18"/>
                        <w:szCs w:val="20"/>
                      </w:rPr>
                      <w:instrText xml:space="preserve">PAGE \* MERGEFORMAT</w:instrText>
                    </w:r>
                    <w:r>
                      <w:rPr>
                        <w:rFonts w:hint="default" w:ascii="Times New Roman" w:hAnsi="Times New Roman" w:eastAsia="宋体" w:cs="Times New Roman"/>
                        <w:sz w:val="18"/>
                        <w:szCs w:val="20"/>
                      </w:rPr>
                      <w:fldChar w:fldCharType="separate"/>
                    </w:r>
                    <w:r>
                      <w:rPr>
                        <w:rFonts w:hint="default" w:ascii="Times New Roman" w:hAnsi="Times New Roman" w:eastAsia="宋体" w:cs="Times New Roman"/>
                        <w:sz w:val="18"/>
                        <w:szCs w:val="20"/>
                      </w:rPr>
                      <w:t xml:space="preserve">77</w:t>
                    </w:r>
                    <w:r>
                      <w:rPr>
                        <w:rFonts w:hint="default" w:ascii="Times New Roman" w:hAnsi="Times New Roman" w:eastAsia="宋体" w:cs="Times New Roman"/>
                        <w:sz w:val="18"/>
                        <w:szCs w:val="20"/>
                      </w:rPr>
                      <w:fldChar w:fldCharType="end"/>
                    </w:r>
                    <w:r/>
                  </w:p>
                  <w:p>
                    <w:pPr>
                      <w:jc w:val="both"/>
                      <w:widowControl w:val="off"/>
                      <w:rPr>
                        <w:rFonts w:hint="default" w:ascii="Times New Roman" w:hAnsi="Times New Roman" w:eastAsia="宋体" w:cs="Times New Roman"/>
                        <w:sz w:val="21"/>
                        <w:szCs w:val="24"/>
                      </w:rPr>
                    </w:pPr>
                    <w:r>
                      <w:rPr>
                        <w:rFonts w:hint="default" w:ascii="Times New Roman" w:hAnsi="Times New Roman" w:eastAsia="宋体" w:cs="Times New Roman"/>
                        <w:sz w:val="21"/>
                        <w:szCs w:val="24"/>
                      </w:rPr>
                    </w:r>
                    <w:r/>
                  </w:p>
                </w:txbxContent>
              </v:textbox>
            </v:shape>
          </w:pict>
        </mc:Fallback>
      </mc:AlternateContent>
    </w:r>
    <w:r/>
  </w:p>
  <w:p>
    <w:pPr>
      <w:jc w:val="left"/>
      <w:widowControl w:val="off"/>
      <w:tabs>
        <w:tab w:val="center" w:pos="4153" w:leader="none"/>
        <w:tab w:val="right" w:pos="8306" w:leader="none"/>
      </w:tabs>
      <w:rPr>
        <w:rFonts w:hint="default" w:ascii="Times New Roman" w:hAnsi="Times New Roman" w:eastAsia="宋体" w:cs="Times New Roman"/>
        <w:sz w:val="18"/>
        <w:szCs w:val="20"/>
      </w:rPr>
    </w:pPr>
    <w:r>
      <w:rPr>
        <w:rFonts w:hint="default" w:ascii="Times New Roman" w:hAnsi="Times New Roman" w:eastAsia="宋体" w:cs="Times New Roman"/>
        <w:sz w:val="18"/>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Bdr>
        <w:bottom w:val="none" w:color="auto" w:sz="0" w:space="0"/>
      </w:pBdr>
    </w:pPr>
    <w:r>
      <w:rPr>
        <w:rFonts w:ascii="Times New Roman" w:hAnsi="Times New Roman" w:eastAsia="宋体" w:cs="Times New Roman"/>
        <w:sz w:val="18"/>
        <w:szCs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341"/>
        <w:i/>
        <w:iCs/>
        <w:sz w:val="18"/>
      </w:rPr>
    </w:pPr>
    <w:r>
      <w:rPr>
        <w:i/>
        <w:iCs/>
        <w:sz w:val="18"/>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宋体" w:cs="Times New Roman"/>
        <w:b/>
        <w:bCs/>
        <w:sz w:val="18"/>
        <w:szCs w:val="20"/>
      </w:rPr>
      <w:pBdr>
        <w:bottom w:val="none" w:color="000000" w:sz="0" w:space="0"/>
      </w:pBdr>
    </w:pPr>
    <w:r>
      <w:rPr>
        <w:rFonts w:hint="default" w:ascii="Times New Roman" w:hAnsi="Times New Roman" w:eastAsia="宋体" w:cs="Times New Roman"/>
        <w:sz w:val="18"/>
        <w:szCs w:val="20"/>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2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21"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1122">
    <w:name w:val="Heading 1"/>
    <w:next w:val="1121"/>
    <w:uiPriority w:val="0"/>
    <w:qFormat/>
    <w:pPr>
      <w:jc w:val="both"/>
      <w:keepLines/>
      <w:keepNext/>
      <w:spacing w:line="360" w:lineRule="auto"/>
      <w:widowControl w:val="off"/>
      <w:outlineLvl w:val="0"/>
    </w:pPr>
    <w:rPr>
      <w:rFonts w:hint="default" w:ascii="Calibri" w:hAnsi="Calibri" w:eastAsia="黑体" w:cs="Times New Roman"/>
      <w:b/>
      <w:bCs/>
      <w:sz w:val="32"/>
      <w:szCs w:val="44"/>
      <w:lang w:val="en-US" w:eastAsia="zh-CN" w:bidi="ar-SA"/>
    </w:rPr>
  </w:style>
  <w:style w:type="paragraph" w:styleId="1123">
    <w:name w:val="Heading 2"/>
    <w:basedOn w:val="1121"/>
    <w:next w:val="1121"/>
    <w:link w:val="1162"/>
    <w:uiPriority w:val="9"/>
    <w:unhideWhenUsed/>
    <w:qFormat/>
    <w:pPr>
      <w:keepLines/>
      <w:keepNext/>
      <w:spacing w:before="360" w:after="200"/>
      <w:outlineLvl w:val="1"/>
    </w:pPr>
    <w:rPr>
      <w:rFonts w:ascii="Arial" w:hAnsi="Arial" w:eastAsia="Arial" w:cs="Arial"/>
      <w:sz w:val="34"/>
    </w:rPr>
  </w:style>
  <w:style w:type="paragraph" w:styleId="1124">
    <w:name w:val="Heading 3"/>
    <w:next w:val="1121"/>
    <w:uiPriority w:val="0"/>
    <w:qFormat/>
    <w:pPr>
      <w:jc w:val="both"/>
      <w:keepLines/>
      <w:keepNext/>
      <w:spacing w:before="260" w:after="260" w:line="416" w:lineRule="auto"/>
      <w:widowControl w:val="off"/>
      <w:outlineLvl w:val="2"/>
    </w:pPr>
    <w:rPr>
      <w:rFonts w:hint="default" w:ascii="Times New Roman" w:hAnsi="Times New Roman" w:eastAsia="宋体" w:cs="Times New Roman"/>
      <w:b/>
      <w:bCs/>
      <w:sz w:val="24"/>
      <w:szCs w:val="32"/>
      <w:lang w:val="en-US" w:eastAsia="zh-CN" w:bidi="ar-SA"/>
    </w:rPr>
  </w:style>
  <w:style w:type="paragraph" w:styleId="1125">
    <w:name w:val="Heading 4"/>
    <w:next w:val="1121"/>
    <w:uiPriority w:val="0"/>
    <w:qFormat/>
    <w:pPr>
      <w:jc w:val="both"/>
      <w:keepLines/>
      <w:keepNext/>
      <w:spacing w:before="280" w:after="290" w:line="376" w:lineRule="auto"/>
      <w:widowControl w:val="off"/>
      <w:outlineLvl w:val="3"/>
    </w:pPr>
    <w:rPr>
      <w:rFonts w:hint="default" w:ascii="Cambria" w:hAnsi="Cambria" w:eastAsia="宋体" w:cs="Times New Roman"/>
      <w:bCs/>
      <w:sz w:val="28"/>
      <w:szCs w:val="28"/>
      <w:lang w:val="en-US" w:eastAsia="zh-CN" w:bidi="ar-SA"/>
    </w:rPr>
  </w:style>
  <w:style w:type="paragraph" w:styleId="1126">
    <w:name w:val="Heading 5"/>
    <w:basedOn w:val="1121"/>
    <w:next w:val="1121"/>
    <w:link w:val="1165"/>
    <w:uiPriority w:val="9"/>
    <w:unhideWhenUsed/>
    <w:qFormat/>
    <w:pPr>
      <w:keepLines/>
      <w:keepNext/>
      <w:spacing w:before="320" w:after="200"/>
      <w:outlineLvl w:val="4"/>
    </w:pPr>
    <w:rPr>
      <w:rFonts w:ascii="Arial" w:hAnsi="Arial" w:eastAsia="Arial" w:cs="Arial"/>
      <w:b/>
      <w:bCs/>
      <w:sz w:val="24"/>
      <w:szCs w:val="24"/>
    </w:rPr>
  </w:style>
  <w:style w:type="paragraph" w:styleId="1127">
    <w:name w:val="Heading 6"/>
    <w:basedOn w:val="1121"/>
    <w:next w:val="1121"/>
    <w:link w:val="1166"/>
    <w:uiPriority w:val="9"/>
    <w:unhideWhenUsed/>
    <w:qFormat/>
    <w:pPr>
      <w:keepLines/>
      <w:keepNext/>
      <w:spacing w:before="320" w:after="200"/>
      <w:outlineLvl w:val="5"/>
    </w:pPr>
    <w:rPr>
      <w:rFonts w:ascii="Arial" w:hAnsi="Arial" w:eastAsia="Arial" w:cs="Arial"/>
      <w:b/>
      <w:bCs/>
      <w:sz w:val="22"/>
      <w:szCs w:val="22"/>
    </w:rPr>
  </w:style>
  <w:style w:type="paragraph" w:styleId="1128">
    <w:name w:val="Heading 7"/>
    <w:basedOn w:val="1121"/>
    <w:next w:val="1121"/>
    <w:link w:val="1167"/>
    <w:uiPriority w:val="9"/>
    <w:unhideWhenUsed/>
    <w:qFormat/>
    <w:pPr>
      <w:keepLines/>
      <w:keepNext/>
      <w:spacing w:before="320" w:after="200"/>
      <w:outlineLvl w:val="6"/>
    </w:pPr>
    <w:rPr>
      <w:rFonts w:ascii="Arial" w:hAnsi="Arial" w:eastAsia="Arial" w:cs="Arial"/>
      <w:b/>
      <w:bCs/>
      <w:i/>
      <w:iCs/>
      <w:sz w:val="22"/>
      <w:szCs w:val="22"/>
    </w:rPr>
  </w:style>
  <w:style w:type="paragraph" w:styleId="1129">
    <w:name w:val="Heading 8"/>
    <w:basedOn w:val="1121"/>
    <w:next w:val="1121"/>
    <w:link w:val="1168"/>
    <w:uiPriority w:val="9"/>
    <w:unhideWhenUsed/>
    <w:qFormat/>
    <w:pPr>
      <w:keepLines/>
      <w:keepNext/>
      <w:spacing w:before="320" w:after="200"/>
      <w:outlineLvl w:val="7"/>
    </w:pPr>
    <w:rPr>
      <w:rFonts w:ascii="Arial" w:hAnsi="Arial" w:eastAsia="Arial" w:cs="Arial"/>
      <w:i/>
      <w:iCs/>
      <w:sz w:val="22"/>
      <w:szCs w:val="22"/>
    </w:rPr>
  </w:style>
  <w:style w:type="paragraph" w:styleId="1130">
    <w:name w:val="Heading 9"/>
    <w:basedOn w:val="1121"/>
    <w:next w:val="1121"/>
    <w:link w:val="1169"/>
    <w:uiPriority w:val="9"/>
    <w:unhideWhenUsed/>
    <w:qFormat/>
    <w:pPr>
      <w:keepLines/>
      <w:keepNext/>
      <w:spacing w:before="320" w:after="200"/>
      <w:outlineLvl w:val="8"/>
    </w:pPr>
    <w:rPr>
      <w:rFonts w:ascii="Arial" w:hAnsi="Arial" w:eastAsia="Arial" w:cs="Arial"/>
      <w:i/>
      <w:iCs/>
      <w:sz w:val="21"/>
      <w:szCs w:val="21"/>
    </w:rPr>
  </w:style>
  <w:style w:type="character" w:styleId="1131" w:default="1">
    <w:name w:val="Default Paragraph Font"/>
    <w:uiPriority w:val="0"/>
    <w:semiHidden/>
    <w:qFormat/>
  </w:style>
  <w:style w:type="table" w:styleId="1132" w:default="1">
    <w:name w:val="Normal Table"/>
    <w:uiPriority w:val="0"/>
    <w:semiHidden/>
    <w:qFormat/>
    <w:tblPr>
      <w:tblCellMar>
        <w:left w:w="108" w:type="dxa"/>
        <w:top w:w="0" w:type="dxa"/>
        <w:right w:w="108" w:type="dxa"/>
        <w:bottom w:w="0" w:type="dxa"/>
      </w:tblCellMar>
    </w:tblPr>
  </w:style>
  <w:style w:type="paragraph" w:styleId="1133">
    <w:name w:val="toc 7"/>
    <w:basedOn w:val="1121"/>
    <w:next w:val="1121"/>
    <w:uiPriority w:val="39"/>
    <w:unhideWhenUsed/>
    <w:qFormat/>
    <w:pPr>
      <w:ind w:left="1701" w:right="0" w:firstLine="0"/>
      <w:spacing w:after="57"/>
    </w:pPr>
  </w:style>
  <w:style w:type="paragraph" w:styleId="1134">
    <w:name w:val="Normal Indent"/>
    <w:next w:val="1135"/>
    <w:uiPriority w:val="0"/>
    <w:qFormat/>
    <w:pPr>
      <w:ind w:firstLine="420"/>
      <w:jc w:val="left"/>
      <w:widowControl/>
    </w:pPr>
    <w:rPr>
      <w:rFonts w:hint="default" w:ascii="Calibri" w:hAnsi="Calibri" w:eastAsia="宋体" w:cs="Times New Roman"/>
      <w:sz w:val="20"/>
      <w:szCs w:val="24"/>
      <w:lang w:val="en-US" w:eastAsia="zh-CN" w:bidi="ar-SA"/>
    </w:rPr>
  </w:style>
  <w:style w:type="paragraph" w:styleId="1135">
    <w:name w:val="toc 4"/>
    <w:next w:val="1121"/>
    <w:uiPriority w:val="39"/>
    <w:qFormat/>
    <w:pPr>
      <w:ind w:left="1260"/>
      <w:jc w:val="both"/>
      <w:widowControl w:val="off"/>
    </w:pPr>
    <w:rPr>
      <w:rFonts w:hint="default" w:ascii="Times New Roman" w:hAnsi="Times New Roman" w:eastAsia="宋体" w:cs="Times New Roman"/>
      <w:sz w:val="21"/>
      <w:szCs w:val="24"/>
      <w:lang w:val="en-US" w:eastAsia="zh-CN" w:bidi="ar-SA"/>
    </w:rPr>
  </w:style>
  <w:style w:type="paragraph" w:styleId="1136">
    <w:name w:val="Caption"/>
    <w:basedOn w:val="1121"/>
    <w:next w:val="112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137">
    <w:name w:val="Body Text"/>
    <w:uiPriority w:val="0"/>
    <w:qFormat/>
    <w:pPr>
      <w:jc w:val="both"/>
      <w:widowControl w:val="off"/>
    </w:pPr>
    <w:rPr>
      <w:rFonts w:hint="default" w:ascii="楷体_GB2312" w:hAnsi="Arial" w:eastAsia="楷体_GB2312" w:cs="Times New Roman"/>
      <w:sz w:val="28"/>
      <w:szCs w:val="28"/>
      <w:lang w:val="en-US" w:eastAsia="zh-CN" w:bidi="ar-SA"/>
    </w:rPr>
  </w:style>
  <w:style w:type="paragraph" w:styleId="1138">
    <w:name w:val="Block Text"/>
    <w:uiPriority w:val="0"/>
    <w:qFormat/>
    <w:pPr>
      <w:ind w:left="256" w:right="6" w:firstLine="624"/>
      <w:jc w:val="both"/>
      <w:widowControl w:val="off"/>
    </w:pPr>
    <w:rPr>
      <w:rFonts w:hint="default" w:ascii="Calibri" w:hAnsi="Calibri" w:eastAsia="仿宋" w:cs="Times New Roman"/>
      <w:sz w:val="28"/>
      <w:szCs w:val="20"/>
      <w:lang w:val="en-US" w:eastAsia="zh-CN" w:bidi="ar-SA"/>
    </w:rPr>
  </w:style>
  <w:style w:type="paragraph" w:styleId="1139">
    <w:name w:val="toc 5"/>
    <w:basedOn w:val="1121"/>
    <w:next w:val="1121"/>
    <w:uiPriority w:val="39"/>
    <w:unhideWhenUsed/>
    <w:qFormat/>
    <w:pPr>
      <w:ind w:left="1134" w:right="0" w:firstLine="0"/>
      <w:spacing w:after="57"/>
    </w:pPr>
  </w:style>
  <w:style w:type="paragraph" w:styleId="1140">
    <w:name w:val="toc 3"/>
    <w:basedOn w:val="1121"/>
    <w:next w:val="1121"/>
    <w:uiPriority w:val="39"/>
    <w:unhideWhenUsed/>
    <w:qFormat/>
    <w:pPr>
      <w:ind w:left="567" w:right="0" w:firstLine="0"/>
      <w:spacing w:after="57"/>
    </w:pPr>
  </w:style>
  <w:style w:type="paragraph" w:styleId="1141">
    <w:name w:val="toc 8"/>
    <w:basedOn w:val="1121"/>
    <w:next w:val="1121"/>
    <w:uiPriority w:val="39"/>
    <w:unhideWhenUsed/>
    <w:qFormat/>
    <w:pPr>
      <w:ind w:left="1984" w:right="0" w:firstLine="0"/>
      <w:spacing w:after="57"/>
    </w:pPr>
  </w:style>
  <w:style w:type="paragraph" w:styleId="1142">
    <w:name w:val="endnote text"/>
    <w:basedOn w:val="1121"/>
    <w:link w:val="1307"/>
    <w:uiPriority w:val="99"/>
    <w:semiHidden/>
    <w:unhideWhenUsed/>
    <w:qFormat/>
    <w:pPr>
      <w:spacing w:after="0" w:line="240" w:lineRule="auto"/>
    </w:pPr>
    <w:rPr>
      <w:sz w:val="20"/>
    </w:rPr>
  </w:style>
  <w:style w:type="paragraph" w:styleId="1143">
    <w:name w:val="Footer"/>
    <w:basedOn w:val="112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144">
    <w:name w:val="Header"/>
    <w:uiPriority w:val="0"/>
    <w:qFormat/>
    <w:pPr>
      <w:jc w:val="center"/>
      <w:widowControl w:val="off"/>
      <w:tabs>
        <w:tab w:val="center" w:pos="4153" w:leader="none"/>
        <w:tab w:val="right" w:pos="8306" w:leader="none"/>
      </w:tabs>
      <w:pBdr>
        <w:bottom w:val="single" w:color="auto" w:sz="6" w:space="1"/>
      </w:pBdr>
    </w:pPr>
    <w:rPr>
      <w:rFonts w:hint="default" w:ascii="Calibri" w:hAnsi="Calibri" w:eastAsia="宋体" w:cs="Times New Roman"/>
      <w:sz w:val="18"/>
      <w:szCs w:val="18"/>
      <w:lang w:val="en-US" w:eastAsia="zh-CN" w:bidi="ar-SA"/>
    </w:rPr>
  </w:style>
  <w:style w:type="paragraph" w:styleId="1145">
    <w:name w:val="toc 1"/>
    <w:basedOn w:val="1121"/>
    <w:next w:val="1121"/>
    <w:uiPriority w:val="39"/>
    <w:unhideWhenUsed/>
    <w:qFormat/>
    <w:pPr>
      <w:ind w:left="0" w:right="0" w:firstLine="0"/>
      <w:spacing w:after="57"/>
    </w:pPr>
  </w:style>
  <w:style w:type="paragraph" w:styleId="1146">
    <w:name w:val="Subtitle"/>
    <w:basedOn w:val="1121"/>
    <w:next w:val="1121"/>
    <w:link w:val="1173"/>
    <w:uiPriority w:val="11"/>
    <w:qFormat/>
    <w:pPr>
      <w:spacing w:before="200" w:after="200"/>
    </w:pPr>
    <w:rPr>
      <w:sz w:val="24"/>
      <w:szCs w:val="24"/>
    </w:rPr>
  </w:style>
  <w:style w:type="paragraph" w:styleId="1147">
    <w:name w:val="footnote text"/>
    <w:basedOn w:val="1121"/>
    <w:link w:val="1306"/>
    <w:uiPriority w:val="99"/>
    <w:semiHidden/>
    <w:unhideWhenUsed/>
    <w:qFormat/>
    <w:pPr>
      <w:spacing w:after="40" w:line="240" w:lineRule="auto"/>
    </w:pPr>
    <w:rPr>
      <w:sz w:val="18"/>
    </w:rPr>
  </w:style>
  <w:style w:type="paragraph" w:styleId="1148">
    <w:name w:val="toc 6"/>
    <w:basedOn w:val="1121"/>
    <w:next w:val="1121"/>
    <w:uiPriority w:val="39"/>
    <w:unhideWhenUsed/>
    <w:qFormat/>
    <w:pPr>
      <w:ind w:left="1417" w:right="0" w:firstLine="0"/>
      <w:spacing w:after="57"/>
    </w:pPr>
  </w:style>
  <w:style w:type="paragraph" w:styleId="1149">
    <w:name w:val="table of figures"/>
    <w:basedOn w:val="1121"/>
    <w:next w:val="1121"/>
    <w:uiPriority w:val="99"/>
    <w:unhideWhenUsed/>
    <w:qFormat/>
    <w:pPr>
      <w:spacing w:after="0" w:afterAutospacing="0"/>
    </w:pPr>
  </w:style>
  <w:style w:type="paragraph" w:styleId="1150">
    <w:name w:val="toc 2"/>
    <w:basedOn w:val="1121"/>
    <w:next w:val="1121"/>
    <w:uiPriority w:val="39"/>
    <w:unhideWhenUsed/>
    <w:qFormat/>
    <w:pPr>
      <w:ind w:left="283" w:right="0" w:firstLine="0"/>
      <w:spacing w:after="57"/>
    </w:pPr>
  </w:style>
  <w:style w:type="paragraph" w:styleId="1151">
    <w:name w:val="toc 9"/>
    <w:basedOn w:val="1121"/>
    <w:next w:val="1121"/>
    <w:uiPriority w:val="39"/>
    <w:unhideWhenUsed/>
    <w:qFormat/>
    <w:pPr>
      <w:ind w:left="2268" w:right="0" w:firstLine="0"/>
      <w:spacing w:after="57"/>
    </w:pPr>
  </w:style>
  <w:style w:type="paragraph" w:styleId="1152">
    <w:name w:val="Normal (Web)"/>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153">
    <w:name w:val="Title"/>
    <w:next w:val="1121"/>
    <w:uiPriority w:val="10"/>
    <w:qFormat/>
    <w:pPr>
      <w:contextualSpacing/>
      <w:jc w:val="both"/>
      <w:spacing w:before="300" w:after="200"/>
      <w:widowControl w:val="off"/>
    </w:pPr>
    <w:rPr>
      <w:rFonts w:hint="default" w:ascii="Calibri" w:hAnsi="Calibri" w:eastAsia="宋体" w:cs="Times New Roman"/>
      <w:sz w:val="48"/>
      <w:szCs w:val="48"/>
      <w:lang w:val="en-US" w:eastAsia="zh-CN" w:bidi="ar-SA"/>
    </w:rPr>
  </w:style>
  <w:style w:type="paragraph" w:styleId="1154">
    <w:name w:val="Body Text First Indent 2"/>
    <w:next w:val="1121"/>
    <w:uiPriority w:val="0"/>
    <w:qFormat/>
    <w:pPr>
      <w:ind w:left="0" w:firstLine="420"/>
      <w:jc w:val="both"/>
      <w:spacing w:after="0" w:line="360" w:lineRule="auto"/>
      <w:widowControl w:val="off"/>
    </w:pPr>
    <w:rPr>
      <w:rFonts w:hint="default" w:ascii="宋体" w:hAnsi="宋体" w:eastAsia="宋体" w:cs="Times New Roman"/>
      <w:sz w:val="20"/>
      <w:szCs w:val="20"/>
      <w:lang w:val="en-US" w:eastAsia="zh-CN" w:bidi="ar-SA"/>
    </w:rPr>
  </w:style>
  <w:style w:type="table" w:styleId="1155">
    <w:name w:val="Table Grid"/>
    <w:basedOn w:val="113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56">
    <w:name w:val="endnote reference"/>
    <w:basedOn w:val="1131"/>
    <w:uiPriority w:val="99"/>
    <w:semiHidden/>
    <w:unhideWhenUsed/>
    <w:qFormat/>
    <w:rPr>
      <w:vertAlign w:val="superscript"/>
    </w:rPr>
  </w:style>
  <w:style w:type="character" w:styleId="1157">
    <w:name w:val="page number"/>
    <w:basedOn w:val="1131"/>
    <w:uiPriority w:val="0"/>
    <w:qFormat/>
  </w:style>
  <w:style w:type="character" w:styleId="1158">
    <w:name w:val="Hyperlink"/>
    <w:uiPriority w:val="99"/>
    <w:unhideWhenUsed/>
    <w:qFormat/>
    <w:rPr>
      <w:color w:val="0026e5" w:themeColor="hyperlink"/>
      <w:u w:val="single"/>
      <w14:textFill>
        <w14:solidFill>
          <w14:schemeClr w14:val="hlink"/>
        </w14:solidFill>
      </w14:textFill>
    </w:rPr>
  </w:style>
  <w:style w:type="character" w:styleId="1159">
    <w:name w:val="annotation reference"/>
    <w:uiPriority w:val="0"/>
    <w:qFormat/>
    <w:rPr>
      <w:sz w:val="21"/>
      <w:szCs w:val="21"/>
    </w:rPr>
  </w:style>
  <w:style w:type="character" w:styleId="1160">
    <w:name w:val="footnote reference"/>
    <w:basedOn w:val="1131"/>
    <w:uiPriority w:val="99"/>
    <w:unhideWhenUsed/>
    <w:qFormat/>
    <w:rPr>
      <w:vertAlign w:val="superscript"/>
    </w:rPr>
  </w:style>
  <w:style w:type="character" w:styleId="1161" w:customStyle="1">
    <w:name w:val="Heading 1 Char"/>
    <w:basedOn w:val="1131"/>
    <w:uiPriority w:val="9"/>
    <w:qFormat/>
    <w:rPr>
      <w:rFonts w:ascii="Arial" w:hAnsi="Arial" w:eastAsia="Arial" w:cs="Arial"/>
      <w:sz w:val="40"/>
      <w:szCs w:val="40"/>
    </w:rPr>
  </w:style>
  <w:style w:type="character" w:styleId="1162" w:customStyle="1">
    <w:name w:val="Heading 2 Char"/>
    <w:basedOn w:val="1131"/>
    <w:link w:val="1123"/>
    <w:uiPriority w:val="9"/>
    <w:qFormat/>
    <w:rPr>
      <w:rFonts w:ascii="Arial" w:hAnsi="Arial" w:eastAsia="Arial" w:cs="Arial"/>
      <w:sz w:val="34"/>
    </w:rPr>
  </w:style>
  <w:style w:type="character" w:styleId="1163" w:customStyle="1">
    <w:name w:val="Heading 3 Char"/>
    <w:basedOn w:val="1131"/>
    <w:uiPriority w:val="9"/>
    <w:qFormat/>
    <w:rPr>
      <w:rFonts w:ascii="Arial" w:hAnsi="Arial" w:eastAsia="Arial" w:cs="Arial"/>
      <w:sz w:val="30"/>
      <w:szCs w:val="30"/>
    </w:rPr>
  </w:style>
  <w:style w:type="character" w:styleId="1164" w:customStyle="1">
    <w:name w:val="Heading 4 Char"/>
    <w:basedOn w:val="1131"/>
    <w:uiPriority w:val="9"/>
    <w:qFormat/>
    <w:rPr>
      <w:rFonts w:ascii="Arial" w:hAnsi="Arial" w:eastAsia="Arial" w:cs="Arial"/>
      <w:b/>
      <w:bCs/>
      <w:sz w:val="26"/>
      <w:szCs w:val="26"/>
    </w:rPr>
  </w:style>
  <w:style w:type="character" w:styleId="1165" w:customStyle="1">
    <w:name w:val="Heading 5 Char"/>
    <w:basedOn w:val="1131"/>
    <w:link w:val="1126"/>
    <w:uiPriority w:val="9"/>
    <w:qFormat/>
    <w:rPr>
      <w:rFonts w:ascii="Arial" w:hAnsi="Arial" w:eastAsia="Arial" w:cs="Arial"/>
      <w:b/>
      <w:bCs/>
      <w:sz w:val="24"/>
      <w:szCs w:val="24"/>
    </w:rPr>
  </w:style>
  <w:style w:type="character" w:styleId="1166" w:customStyle="1">
    <w:name w:val="Heading 6 Char"/>
    <w:basedOn w:val="1131"/>
    <w:link w:val="1127"/>
    <w:uiPriority w:val="9"/>
    <w:qFormat/>
    <w:rPr>
      <w:rFonts w:ascii="Arial" w:hAnsi="Arial" w:eastAsia="Arial" w:cs="Arial"/>
      <w:b/>
      <w:bCs/>
      <w:sz w:val="22"/>
      <w:szCs w:val="22"/>
    </w:rPr>
  </w:style>
  <w:style w:type="character" w:styleId="1167" w:customStyle="1">
    <w:name w:val="Heading 7 Char"/>
    <w:basedOn w:val="1131"/>
    <w:link w:val="1128"/>
    <w:uiPriority w:val="9"/>
    <w:qFormat/>
    <w:rPr>
      <w:rFonts w:ascii="Arial" w:hAnsi="Arial" w:eastAsia="Arial" w:cs="Arial"/>
      <w:b/>
      <w:bCs/>
      <w:i/>
      <w:iCs/>
      <w:sz w:val="22"/>
      <w:szCs w:val="22"/>
    </w:rPr>
  </w:style>
  <w:style w:type="character" w:styleId="1168" w:customStyle="1">
    <w:name w:val="Heading 8 Char"/>
    <w:basedOn w:val="1131"/>
    <w:link w:val="1129"/>
    <w:uiPriority w:val="9"/>
    <w:qFormat/>
    <w:rPr>
      <w:rFonts w:ascii="Arial" w:hAnsi="Arial" w:eastAsia="Arial" w:cs="Arial"/>
      <w:i/>
      <w:iCs/>
      <w:sz w:val="22"/>
      <w:szCs w:val="22"/>
    </w:rPr>
  </w:style>
  <w:style w:type="character" w:styleId="1169" w:customStyle="1">
    <w:name w:val="Heading 9 Char"/>
    <w:basedOn w:val="1131"/>
    <w:link w:val="1130"/>
    <w:uiPriority w:val="9"/>
    <w:qFormat/>
    <w:rPr>
      <w:rFonts w:ascii="Arial" w:hAnsi="Arial" w:eastAsia="Arial" w:cs="Arial"/>
      <w:i/>
      <w:iCs/>
      <w:sz w:val="21"/>
      <w:szCs w:val="21"/>
    </w:rPr>
  </w:style>
  <w:style w:type="paragraph" w:styleId="1170">
    <w:name w:val="List Paragraph"/>
    <w:basedOn w:val="1121"/>
    <w:uiPriority w:val="34"/>
    <w:qFormat/>
    <w:pPr>
      <w:contextualSpacing/>
      <w:ind w:left="720"/>
    </w:pPr>
  </w:style>
  <w:style w:type="paragraph" w:styleId="1171">
    <w:name w:val="No Spacing"/>
    <w:uiPriority w:val="1"/>
    <w:qFormat/>
    <w:pPr>
      <w:spacing w:before="0" w:after="0" w:line="240" w:lineRule="auto"/>
    </w:pPr>
    <w:rPr>
      <w:rFonts w:hint="default" w:asciiTheme="minorHAnsi" w:hAnsiTheme="minorHAnsi" w:eastAsiaTheme="minorEastAsia" w:cstheme="minorBidi"/>
    </w:rPr>
  </w:style>
  <w:style w:type="character" w:styleId="1172" w:customStyle="1">
    <w:name w:val="Title Char"/>
    <w:basedOn w:val="1131"/>
    <w:uiPriority w:val="10"/>
    <w:qFormat/>
    <w:rPr>
      <w:sz w:val="48"/>
      <w:szCs w:val="48"/>
    </w:rPr>
  </w:style>
  <w:style w:type="character" w:styleId="1173" w:customStyle="1">
    <w:name w:val="Subtitle Char"/>
    <w:basedOn w:val="1131"/>
    <w:link w:val="1146"/>
    <w:uiPriority w:val="11"/>
    <w:qFormat/>
    <w:rPr>
      <w:sz w:val="24"/>
      <w:szCs w:val="24"/>
    </w:rPr>
  </w:style>
  <w:style w:type="paragraph" w:styleId="1174">
    <w:name w:val="Quote"/>
    <w:basedOn w:val="1121"/>
    <w:next w:val="1121"/>
    <w:link w:val="1175"/>
    <w:uiPriority w:val="29"/>
    <w:qFormat/>
    <w:pPr>
      <w:ind w:left="720" w:right="720"/>
    </w:pPr>
    <w:rPr>
      <w:i/>
    </w:rPr>
  </w:style>
  <w:style w:type="character" w:styleId="1175" w:customStyle="1">
    <w:name w:val="Quote Char"/>
    <w:link w:val="1174"/>
    <w:uiPriority w:val="29"/>
    <w:qFormat/>
    <w:rPr>
      <w:i/>
    </w:rPr>
  </w:style>
  <w:style w:type="paragraph" w:styleId="1176">
    <w:name w:val="Intense Quote"/>
    <w:basedOn w:val="1121"/>
    <w:next w:val="1121"/>
    <w:link w:val="11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7" w:customStyle="1">
    <w:name w:val="Intense Quote Char"/>
    <w:link w:val="1176"/>
    <w:uiPriority w:val="30"/>
    <w:qFormat/>
    <w:rPr>
      <w:i/>
    </w:rPr>
  </w:style>
  <w:style w:type="character" w:styleId="1178" w:customStyle="1">
    <w:name w:val="Header Char"/>
    <w:basedOn w:val="1131"/>
    <w:uiPriority w:val="99"/>
    <w:qFormat/>
  </w:style>
  <w:style w:type="character" w:styleId="1179" w:customStyle="1">
    <w:name w:val="Footer Char"/>
    <w:basedOn w:val="1131"/>
    <w:uiPriority w:val="99"/>
    <w:qFormat/>
  </w:style>
  <w:style w:type="character" w:styleId="1180" w:customStyle="1">
    <w:name w:val="Caption Char"/>
    <w:uiPriority w:val="99"/>
    <w:qFormat/>
  </w:style>
  <w:style w:type="table" w:styleId="1181" w:customStyle="1">
    <w:name w:val="Table Grid Light"/>
    <w:basedOn w:val="11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82" w:customStyle="1">
    <w:name w:val="Plain Table 1"/>
    <w:basedOn w:val="11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83" w:customStyle="1">
    <w:name w:val="Plain Table 2"/>
    <w:basedOn w:val="113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84" w:customStyle="1">
    <w:name w:val="Plain Table 3"/>
    <w:basedOn w:val="11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85" w:customStyle="1">
    <w:name w:val="Plain Table 4"/>
    <w:basedOn w:val="11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86" w:customStyle="1">
    <w:name w:val="Plain Table 5"/>
    <w:basedOn w:val="11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87" w:customStyle="1">
    <w:name w:val="Grid Table 1 Light"/>
    <w:basedOn w:val="113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88" w:customStyle="1">
    <w:name w:val="Grid Table 1 Light - Accent 1"/>
    <w:basedOn w:val="113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89" w:customStyle="1">
    <w:name w:val="Grid Table 1 Light - Accent 2"/>
    <w:basedOn w:val="113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90" w:customStyle="1">
    <w:name w:val="Grid Table 1 Light - Accent 3"/>
    <w:basedOn w:val="113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91" w:customStyle="1">
    <w:name w:val="Grid Table 1 Light - Accent 4"/>
    <w:basedOn w:val="113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92" w:customStyle="1">
    <w:name w:val="Grid Table 1 Light - Accent 5"/>
    <w:basedOn w:val="113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93" w:customStyle="1">
    <w:name w:val="Grid Table 1 Light - Accent 6"/>
    <w:basedOn w:val="113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94" w:customStyle="1">
    <w:name w:val="Grid Table 2"/>
    <w:basedOn w:val="11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95" w:customStyle="1">
    <w:name w:val="Grid Table 2 - Accent 1"/>
    <w:basedOn w:val="113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96" w:customStyle="1">
    <w:name w:val="Grid Table 2 - Accent 2"/>
    <w:basedOn w:val="113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97" w:customStyle="1">
    <w:name w:val="Grid Table 2 - Accent 3"/>
    <w:basedOn w:val="113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98" w:customStyle="1">
    <w:name w:val="Grid Table 2 - Accent 4"/>
    <w:basedOn w:val="113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99" w:customStyle="1">
    <w:name w:val="Grid Table 2 - Accent 5"/>
    <w:basedOn w:val="113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200" w:customStyle="1">
    <w:name w:val="Grid Table 2 - Accent 6"/>
    <w:basedOn w:val="113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201" w:customStyle="1">
    <w:name w:val="Grid Table 3"/>
    <w:basedOn w:val="11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2" w:customStyle="1">
    <w:name w:val="Grid Table 3 - Accent 1"/>
    <w:basedOn w:val="113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3" w:customStyle="1">
    <w:name w:val="Grid Table 3 - Accent 2"/>
    <w:basedOn w:val="113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4" w:customStyle="1">
    <w:name w:val="Grid Table 3 - Accent 3"/>
    <w:basedOn w:val="113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5" w:customStyle="1">
    <w:name w:val="Grid Table 3 - Accent 4"/>
    <w:basedOn w:val="113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6" w:customStyle="1">
    <w:name w:val="Grid Table 3 - Accent 5"/>
    <w:basedOn w:val="113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7" w:customStyle="1">
    <w:name w:val="Grid Table 3 - Accent 6"/>
    <w:basedOn w:val="113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8" w:customStyle="1">
    <w:name w:val="Grid Table 4"/>
    <w:basedOn w:val="113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9" w:customStyle="1">
    <w:name w:val="Grid Table 4 - Accent 1"/>
    <w:basedOn w:val="113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210" w:customStyle="1">
    <w:name w:val="Grid Table 4 - Accent 2"/>
    <w:basedOn w:val="113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211" w:customStyle="1">
    <w:name w:val="Grid Table 4 - Accent 3"/>
    <w:basedOn w:val="113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212" w:customStyle="1">
    <w:name w:val="Grid Table 4 - Accent 4"/>
    <w:basedOn w:val="113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213" w:customStyle="1">
    <w:name w:val="Grid Table 4 - Accent 5"/>
    <w:basedOn w:val="113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214" w:customStyle="1">
    <w:name w:val="Grid Table 4 - Accent 6"/>
    <w:basedOn w:val="113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215" w:customStyle="1">
    <w:name w:val="Grid Table 5 Dark"/>
    <w:basedOn w:val="1132"/>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1216" w:customStyle="1">
    <w:name w:val="Grid Table 5 Dark- Accent 1"/>
    <w:basedOn w:val="1132"/>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CCE8CF" w:themeColor="light1" w:sz="4" w:space="0"/>
        </w:tcBorders>
      </w:tcPr>
    </w:tblStylePr>
  </w:style>
  <w:style w:type="table" w:styleId="1217" w:customStyle="1">
    <w:name w:val="Grid Table 5 Dark - Accent 2"/>
    <w:basedOn w:val="1132"/>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CCE8CF" w:themeColor="light1" w:sz="4" w:space="0"/>
        </w:tcBorders>
      </w:tcPr>
    </w:tblStylePr>
  </w:style>
  <w:style w:type="table" w:styleId="1218" w:customStyle="1">
    <w:name w:val="Grid Table 5 Dark - Accent 3"/>
    <w:basedOn w:val="1132"/>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CCE8CF" w:themeColor="light1" w:sz="4" w:space="0"/>
        </w:tcBorders>
      </w:tcPr>
    </w:tblStylePr>
  </w:style>
  <w:style w:type="table" w:styleId="1219" w:customStyle="1">
    <w:name w:val="Grid Table 5 Dark- Accent 4"/>
    <w:basedOn w:val="1132"/>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CCE8CF" w:themeColor="light1" w:sz="4" w:space="0"/>
        </w:tcBorders>
      </w:tcPr>
    </w:tblStylePr>
  </w:style>
  <w:style w:type="table" w:styleId="1220" w:customStyle="1">
    <w:name w:val="Grid Table 5 Dark - Accent 5"/>
    <w:basedOn w:val="1132"/>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CCE8CF" w:themeColor="light1" w:sz="4" w:space="0"/>
        </w:tcBorders>
      </w:tcPr>
    </w:tblStylePr>
  </w:style>
  <w:style w:type="table" w:styleId="1221" w:customStyle="1">
    <w:name w:val="Grid Table 5 Dark - Accent 6"/>
    <w:basedOn w:val="1132"/>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CCE8CF" w:themeColor="light1" w:sz="4" w:space="0"/>
        </w:tcBorders>
      </w:tcPr>
    </w:tblStylePr>
  </w:style>
  <w:style w:type="table" w:styleId="1222" w:customStyle="1">
    <w:name w:val="Grid Table 6 Colorful"/>
    <w:basedOn w:val="113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23" w:customStyle="1">
    <w:name w:val="Grid Table 6 Colorful - Accent 1"/>
    <w:basedOn w:val="113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224" w:customStyle="1">
    <w:name w:val="Grid Table 6 Colorful - Accent 2"/>
    <w:basedOn w:val="113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225" w:customStyle="1">
    <w:name w:val="Grid Table 6 Colorful - Accent 3"/>
    <w:basedOn w:val="113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226" w:customStyle="1">
    <w:name w:val="Grid Table 6 Colorful - Accent 4"/>
    <w:basedOn w:val="113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227" w:customStyle="1">
    <w:name w:val="Grid Table 6 Colorful - Accent 5"/>
    <w:basedOn w:val="113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228" w:customStyle="1">
    <w:name w:val="Grid Table 6 Colorful - Accent 6"/>
    <w:basedOn w:val="113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229" w:customStyle="1">
    <w:name w:val="Grid Table 7 Colorful"/>
    <w:basedOn w:val="113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30" w:customStyle="1">
    <w:name w:val="Grid Table 7 Colorful - Accent 1"/>
    <w:basedOn w:val="113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231" w:customStyle="1">
    <w:name w:val="Grid Table 7 Colorful - Accent 2"/>
    <w:basedOn w:val="113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32" w:customStyle="1">
    <w:name w:val="Grid Table 7 Colorful - Accent 3"/>
    <w:basedOn w:val="113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233" w:customStyle="1">
    <w:name w:val="Grid Table 7 Colorful - Accent 4"/>
    <w:basedOn w:val="113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34" w:customStyle="1">
    <w:name w:val="Grid Table 7 Colorful - Accent 5"/>
    <w:basedOn w:val="113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cce8cf" w:themeColor="light1" w:fill="cce8c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cce8cf" w:themeColor="light1" w:fill="cce8c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235" w:customStyle="1">
    <w:name w:val="Grid Table 7 Colorful - Accent 6"/>
    <w:basedOn w:val="113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cce8cf" w:themeColor="light1" w:fill="cce8c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cce8cf" w:themeColor="light1" w:fill="cce8c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236" w:customStyle="1">
    <w:name w:val="List Table 1 Light"/>
    <w:basedOn w:val="113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37" w:customStyle="1">
    <w:name w:val="List Table 1 Light - Accent 1"/>
    <w:basedOn w:val="113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238" w:customStyle="1">
    <w:name w:val="List Table 1 Light - Accent 2"/>
    <w:basedOn w:val="113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239" w:customStyle="1">
    <w:name w:val="List Table 1 Light - Accent 3"/>
    <w:basedOn w:val="113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240" w:customStyle="1">
    <w:name w:val="List Table 1 Light - Accent 4"/>
    <w:basedOn w:val="113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241" w:customStyle="1">
    <w:name w:val="List Table 1 Light - Accent 5"/>
    <w:basedOn w:val="113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242" w:customStyle="1">
    <w:name w:val="List Table 1 Light - Accent 6"/>
    <w:basedOn w:val="113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243" w:customStyle="1">
    <w:name w:val="List Table 2"/>
    <w:basedOn w:val="113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44" w:customStyle="1">
    <w:name w:val="List Table 2 - Accent 1"/>
    <w:basedOn w:val="113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245" w:customStyle="1">
    <w:name w:val="List Table 2 - Accent 2"/>
    <w:basedOn w:val="113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246" w:customStyle="1">
    <w:name w:val="List Table 2 - Accent 3"/>
    <w:basedOn w:val="113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247" w:customStyle="1">
    <w:name w:val="List Table 2 - Accent 4"/>
    <w:basedOn w:val="113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248" w:customStyle="1">
    <w:name w:val="List Table 2 - Accent 5"/>
    <w:basedOn w:val="113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249" w:customStyle="1">
    <w:name w:val="List Table 2 - Accent 6"/>
    <w:basedOn w:val="113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250" w:customStyle="1">
    <w:name w:val="List Table 3"/>
    <w:basedOn w:val="11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51" w:customStyle="1">
    <w:name w:val="List Table 3 - Accent 1"/>
    <w:basedOn w:val="113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52" w:customStyle="1">
    <w:name w:val="List Table 3 - Accent 2"/>
    <w:basedOn w:val="113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253" w:customStyle="1">
    <w:name w:val="List Table 3 - Accent 3"/>
    <w:basedOn w:val="113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254" w:customStyle="1">
    <w:name w:val="List Table 3 - Accent 4"/>
    <w:basedOn w:val="113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255" w:customStyle="1">
    <w:name w:val="List Table 3 - Accent 5"/>
    <w:basedOn w:val="113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256" w:customStyle="1">
    <w:name w:val="List Table 3 - Accent 6"/>
    <w:basedOn w:val="113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257" w:customStyle="1">
    <w:name w:val="List Table 4"/>
    <w:basedOn w:val="11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58" w:customStyle="1">
    <w:name w:val="List Table 4 - Accent 1"/>
    <w:basedOn w:val="113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59" w:customStyle="1">
    <w:name w:val="List Table 4 - Accent 2"/>
    <w:basedOn w:val="113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260" w:customStyle="1">
    <w:name w:val="List Table 4 - Accent 3"/>
    <w:basedOn w:val="113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261" w:customStyle="1">
    <w:name w:val="List Table 4 - Accent 4"/>
    <w:basedOn w:val="113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262" w:customStyle="1">
    <w:name w:val="List Table 4 - Accent 5"/>
    <w:basedOn w:val="113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263" w:customStyle="1">
    <w:name w:val="List Table 4 - Accent 6"/>
    <w:basedOn w:val="113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264" w:customStyle="1">
    <w:name w:val="List Table 5 Dark"/>
    <w:basedOn w:val="113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265" w:customStyle="1">
    <w:name w:val="List Table 5 Dark - Accent 1"/>
    <w:basedOn w:val="113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CCE8CF" w:themeColor="light1" w:sz="4" w:space="0"/>
          <w:bottom w:val="single" w:color="CCE8CF" w:themeColor="light1" w:sz="4" w:space="0"/>
        </w:tcBorders>
      </w:tcPr>
    </w:tblStylePr>
    <w:tblStylePr w:type="band1Vert">
      <w:tcPr>
        <w:shd w:val="clear" w:color="4874cb" w:themeColor="accent1" w:fill="4874cb" w:themeFill="accent1"/>
        <w:tcBorders>
          <w:left w:val="single" w:color="CCE8CF" w:themeColor="light1" w:sz="4" w:space="0"/>
          <w:right w:val="single" w:color="CCE8CF" w:themeColor="light1" w:sz="4" w:space="0"/>
        </w:tcBorders>
      </w:tcPr>
    </w:tblStylePr>
    <w:tblStylePr w:type="band2Horz">
      <w:tcPr>
        <w:shd w:val="clear" w:color="4874cb" w:themeColor="accent1" w:fill="4874cb"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874CB"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CCE8CF" w:themeColor="light1" w:sz="12" w:space="0"/>
        </w:tcBorders>
      </w:tcPr>
    </w:tblStylePr>
    <w:tblStylePr w:type="lastCol">
      <w:tcPr>
        <w:tcBorders>
          <w:left w:val="single" w:color="CCE8CF" w:themeColor="light1" w:sz="4" w:space="0"/>
          <w:right w:val="single" w:color="4874CB"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266" w:customStyle="1">
    <w:name w:val="List Table 5 Dark - Accent 2"/>
    <w:basedOn w:val="113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CCE8CF" w:themeColor="light1" w:sz="4" w:space="0"/>
          <w:bottom w:val="single" w:color="CCE8CF" w:themeColor="light1" w:sz="4" w:space="0"/>
        </w:tcBorders>
      </w:tcPr>
    </w:tblStylePr>
    <w:tblStylePr w:type="band1Vert">
      <w:tcPr>
        <w:shd w:val="clear" w:color="f4b483" w:themeColor="accent2" w:themeTint="97" w:fill="f4b483" w:themeFill="accent2" w:themeFillTint="97"/>
        <w:tcBorders>
          <w:left w:val="single" w:color="CCE8CF" w:themeColor="light1" w:sz="4" w:space="0"/>
          <w:right w:val="single" w:color="CCE8CF" w:themeColor="light1" w:sz="4" w:space="0"/>
        </w:tcBorders>
      </w:tcPr>
    </w:tblStylePr>
    <w:tblStylePr w:type="band2Horz">
      <w:tcPr>
        <w:shd w:val="clear" w:color="f4b483" w:themeColor="accent2" w:themeTint="97" w:fill="f4b483"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4B483"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CCE8CF" w:themeColor="light1" w:sz="12" w:space="0"/>
        </w:tcBorders>
      </w:tcPr>
    </w:tblStylePr>
    <w:tblStylePr w:type="lastCol">
      <w:tcPr>
        <w:tcBorders>
          <w:left w:val="single" w:color="CCE8CF" w:themeColor="light1" w:sz="4" w:space="0"/>
          <w:right w:val="single" w:color="F4B483"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267" w:customStyle="1">
    <w:name w:val="List Table 5 Dark - Accent 3"/>
    <w:basedOn w:val="113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CCE8CF" w:themeColor="light1" w:sz="4" w:space="0"/>
          <w:bottom w:val="single" w:color="CCE8CF" w:themeColor="light1" w:sz="4" w:space="0"/>
        </w:tcBorders>
      </w:tcPr>
    </w:tblStylePr>
    <w:tblStylePr w:type="band1Vert">
      <w:tcPr>
        <w:shd w:val="clear" w:color="fdd961" w:themeColor="accent3" w:themeTint="98" w:fill="fdd961" w:themeFill="accent3" w:themeFillTint="98"/>
        <w:tcBorders>
          <w:left w:val="single" w:color="CCE8CF" w:themeColor="light1" w:sz="4" w:space="0"/>
          <w:right w:val="single" w:color="CCE8CF" w:themeColor="light1" w:sz="4" w:space="0"/>
        </w:tcBorders>
      </w:tcPr>
    </w:tblStylePr>
    <w:tblStylePr w:type="band2Horz">
      <w:tcPr>
        <w:shd w:val="clear" w:color="fdd961" w:themeColor="accent3" w:themeTint="98" w:fill="fdd961"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DD961"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CCE8CF" w:themeColor="light1" w:sz="12" w:space="0"/>
        </w:tcBorders>
      </w:tcPr>
    </w:tblStylePr>
    <w:tblStylePr w:type="lastCol">
      <w:tcPr>
        <w:tcBorders>
          <w:left w:val="single" w:color="CCE8CF" w:themeColor="light1" w:sz="4" w:space="0"/>
          <w:right w:val="single" w:color="FDD961"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268" w:customStyle="1">
    <w:name w:val="List Table 5 Dark - Accent 4"/>
    <w:basedOn w:val="113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CCE8CF" w:themeColor="light1" w:sz="4" w:space="0"/>
          <w:bottom w:val="single" w:color="CCE8CF" w:themeColor="light1" w:sz="4" w:space="0"/>
        </w:tcBorders>
      </w:tcPr>
    </w:tblStylePr>
    <w:tblStylePr w:type="band1Vert">
      <w:tcPr>
        <w:shd w:val="clear" w:color="abd78c" w:themeColor="accent4" w:themeTint="9A" w:fill="abd78c" w:themeFill="accent4" w:themeFillTint="9A"/>
        <w:tcBorders>
          <w:left w:val="single" w:color="CCE8CF" w:themeColor="light1" w:sz="4" w:space="0"/>
          <w:right w:val="single" w:color="CCE8CF" w:themeColor="light1" w:sz="4" w:space="0"/>
        </w:tcBorders>
      </w:tcPr>
    </w:tblStylePr>
    <w:tblStylePr w:type="band2Horz">
      <w:tcPr>
        <w:shd w:val="clear" w:color="abd78c" w:themeColor="accent4" w:themeTint="9A" w:fill="abd78c"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ABD78C"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CCE8CF" w:themeColor="light1" w:sz="12" w:space="0"/>
        </w:tcBorders>
      </w:tcPr>
    </w:tblStylePr>
    <w:tblStylePr w:type="lastCol">
      <w:tcPr>
        <w:tcBorders>
          <w:left w:val="single" w:color="CCE8CF" w:themeColor="light1" w:sz="4" w:space="0"/>
          <w:right w:val="single" w:color="ABD78C"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269" w:customStyle="1">
    <w:name w:val="List Table 5 Dark - Accent 5"/>
    <w:basedOn w:val="113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CCE8CF" w:themeColor="light1" w:sz="4" w:space="0"/>
          <w:bottom w:val="single" w:color="CCE8CF" w:themeColor="light1" w:sz="4" w:space="0"/>
        </w:tcBorders>
      </w:tcPr>
    </w:tblStylePr>
    <w:tblStylePr w:type="band1Vert">
      <w:tcPr>
        <w:shd w:val="clear" w:color="7cded6" w:themeColor="accent5" w:themeTint="9A" w:fill="7cded6" w:themeFill="accent5" w:themeFillTint="9A"/>
        <w:tcBorders>
          <w:left w:val="single" w:color="CCE8CF" w:themeColor="light1" w:sz="4" w:space="0"/>
          <w:right w:val="single" w:color="CCE8CF" w:themeColor="light1" w:sz="4" w:space="0"/>
        </w:tcBorders>
      </w:tcPr>
    </w:tblStylePr>
    <w:tblStylePr w:type="band2Horz">
      <w:tcPr>
        <w:shd w:val="clear" w:color="7cded6" w:themeColor="accent5" w:themeTint="9A" w:fill="7cded6"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CDED6"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CCE8CF" w:themeColor="light1" w:sz="12" w:space="0"/>
        </w:tcBorders>
      </w:tcPr>
    </w:tblStylePr>
    <w:tblStylePr w:type="lastCol">
      <w:tcPr>
        <w:tcBorders>
          <w:left w:val="single" w:color="CCE8CF" w:themeColor="light1" w:sz="4" w:space="0"/>
          <w:right w:val="single" w:color="7CDED6"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270" w:customStyle="1">
    <w:name w:val="List Table 5 Dark - Accent 6"/>
    <w:basedOn w:val="113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CCE8CF" w:themeColor="light1" w:sz="4" w:space="0"/>
          <w:bottom w:val="single" w:color="CCE8CF" w:themeColor="light1" w:sz="4" w:space="0"/>
        </w:tcBorders>
      </w:tcPr>
    </w:tblStylePr>
    <w:tblStylePr w:type="band1Vert">
      <w:tcPr>
        <w:shd w:val="clear" w:color="ef949f" w:themeColor="accent6" w:themeTint="98" w:fill="ef949f" w:themeFill="accent6" w:themeFillTint="98"/>
        <w:tcBorders>
          <w:left w:val="single" w:color="CCE8CF" w:themeColor="light1" w:sz="4" w:space="0"/>
          <w:right w:val="single" w:color="CCE8CF" w:themeColor="light1" w:sz="4" w:space="0"/>
        </w:tcBorders>
      </w:tcPr>
    </w:tblStylePr>
    <w:tblStylePr w:type="band2Horz">
      <w:tcPr>
        <w:shd w:val="clear" w:color="ef949f" w:themeColor="accent6" w:themeTint="98" w:fill="ef949f"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EF949F"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CCE8CF" w:themeColor="light1" w:sz="12" w:space="0"/>
        </w:tcBorders>
      </w:tcPr>
    </w:tblStylePr>
    <w:tblStylePr w:type="lastCol">
      <w:tcPr>
        <w:tcBorders>
          <w:left w:val="single" w:color="CCE8CF" w:themeColor="light1" w:sz="4" w:space="0"/>
          <w:right w:val="single" w:color="EF949F"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271" w:customStyle="1">
    <w:name w:val="List Table 6 Colorful"/>
    <w:basedOn w:val="113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72" w:customStyle="1">
    <w:name w:val="List Table 6 Colorful - Accent 1"/>
    <w:basedOn w:val="113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273" w:customStyle="1">
    <w:name w:val="List Table 6 Colorful - Accent 2"/>
    <w:basedOn w:val="113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274" w:customStyle="1">
    <w:name w:val="List Table 6 Colorful - Accent 3"/>
    <w:basedOn w:val="113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275" w:customStyle="1">
    <w:name w:val="List Table 6 Colorful - Accent 4"/>
    <w:basedOn w:val="113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276" w:customStyle="1">
    <w:name w:val="List Table 6 Colorful - Accent 5"/>
    <w:basedOn w:val="113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277" w:customStyle="1">
    <w:name w:val="List Table 6 Colorful - Accent 6"/>
    <w:basedOn w:val="113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278" w:customStyle="1">
    <w:name w:val="List Table 7 Colorful"/>
    <w:basedOn w:val="113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79" w:customStyle="1">
    <w:name w:val="List Table 7 Colorful - Accent 1"/>
    <w:basedOn w:val="113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cce8cf" w:themeColor="light1" w:fill="cce8c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cce8cf" w:themeColor="light1" w:fill="cce8c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280" w:customStyle="1">
    <w:name w:val="List Table 7 Colorful - Accent 2"/>
    <w:basedOn w:val="113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81" w:customStyle="1">
    <w:name w:val="List Table 7 Colorful - Accent 3"/>
    <w:basedOn w:val="113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282" w:customStyle="1">
    <w:name w:val="List Table 7 Colorful - Accent 4"/>
    <w:basedOn w:val="113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83" w:customStyle="1">
    <w:name w:val="List Table 7 Colorful - Accent 5"/>
    <w:basedOn w:val="113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284" w:customStyle="1">
    <w:name w:val="List Table 7 Colorful - Accent 6"/>
    <w:basedOn w:val="113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285" w:customStyle="1">
    <w:name w:val="Lined - Accent"/>
    <w:basedOn w:val="11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86" w:customStyle="1">
    <w:name w:val="Lined - Accent 1"/>
    <w:basedOn w:val="11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87" w:customStyle="1">
    <w:name w:val="Lined - Accent 2"/>
    <w:basedOn w:val="11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88" w:customStyle="1">
    <w:name w:val="Lined - Accent 3"/>
    <w:basedOn w:val="11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89" w:customStyle="1">
    <w:name w:val="Lined - Accent 4"/>
    <w:basedOn w:val="11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90" w:customStyle="1">
    <w:name w:val="Lined - Accent 5"/>
    <w:basedOn w:val="11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91" w:customStyle="1">
    <w:name w:val="Lined - Accent 6"/>
    <w:basedOn w:val="11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92" w:customStyle="1">
    <w:name w:val="Bordered &amp; Lined - Accent"/>
    <w:basedOn w:val="113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93" w:customStyle="1">
    <w:name w:val="Bordered &amp; Lined - Accent 1"/>
    <w:basedOn w:val="113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94" w:customStyle="1">
    <w:name w:val="Bordered &amp; Lined - Accent 2"/>
    <w:basedOn w:val="113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95" w:customStyle="1">
    <w:name w:val="Bordered &amp; Lined - Accent 3"/>
    <w:basedOn w:val="113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96" w:customStyle="1">
    <w:name w:val="Bordered &amp; Lined - Accent 4"/>
    <w:basedOn w:val="113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97" w:customStyle="1">
    <w:name w:val="Bordered &amp; Lined - Accent 5"/>
    <w:basedOn w:val="113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98" w:customStyle="1">
    <w:name w:val="Bordered &amp; Lined - Accent 6"/>
    <w:basedOn w:val="113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99" w:customStyle="1">
    <w:name w:val="Bordered"/>
    <w:basedOn w:val="113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00" w:customStyle="1">
    <w:name w:val="Bordered - Accent 1"/>
    <w:basedOn w:val="113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301" w:customStyle="1">
    <w:name w:val="Bordered - Accent 2"/>
    <w:basedOn w:val="113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302" w:customStyle="1">
    <w:name w:val="Bordered - Accent 3"/>
    <w:basedOn w:val="113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303" w:customStyle="1">
    <w:name w:val="Bordered - Accent 4"/>
    <w:basedOn w:val="113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304" w:customStyle="1">
    <w:name w:val="Bordered - Accent 5"/>
    <w:basedOn w:val="113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305" w:customStyle="1">
    <w:name w:val="Bordered - Accent 6"/>
    <w:basedOn w:val="113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306" w:customStyle="1">
    <w:name w:val="Footnote Text Char"/>
    <w:link w:val="1147"/>
    <w:uiPriority w:val="99"/>
    <w:qFormat/>
    <w:rPr>
      <w:sz w:val="18"/>
    </w:rPr>
  </w:style>
  <w:style w:type="character" w:styleId="1307" w:customStyle="1">
    <w:name w:val="Endnote Text Char"/>
    <w:link w:val="1142"/>
    <w:uiPriority w:val="99"/>
    <w:qFormat/>
    <w:rPr>
      <w:sz w:val="20"/>
    </w:rPr>
  </w:style>
  <w:style w:type="paragraph" w:styleId="1308" w:customStyle="1">
    <w:name w:val="TOC Heading"/>
    <w:uiPriority w:val="39"/>
    <w:unhideWhenUsed/>
    <w:qFormat/>
    <w:rPr>
      <w:rFonts w:hint="default" w:asciiTheme="minorHAnsi" w:hAnsiTheme="minorHAnsi" w:eastAsiaTheme="minorEastAsia" w:cstheme="minorBidi"/>
    </w:rPr>
  </w:style>
  <w:style w:type="paragraph" w:styleId="130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10" w:customStyle="1">
    <w:name w:val="Blockquote"/>
    <w:uiPriority w:val="0"/>
    <w:qFormat/>
    <w:pPr>
      <w:ind w:left="764" w:right="567"/>
      <w:jc w:val="left"/>
      <w:spacing w:before="100" w:after="100"/>
      <w:widowControl w:val="off"/>
    </w:pPr>
    <w:rPr>
      <w:rFonts w:hint="default" w:ascii="Times New Roman" w:hAnsi="Times New Roman" w:eastAsia="宋体" w:cs="Times New Roman"/>
      <w:sz w:val="24"/>
      <w:szCs w:val="24"/>
      <w:lang w:val="en-US" w:eastAsia="zh-CN" w:bidi="ar-SA"/>
    </w:rPr>
  </w:style>
  <w:style w:type="paragraph" w:styleId="1311" w:customStyle="1">
    <w:name w:val="Default"/>
    <w:uiPriority w:val="0"/>
    <w:qFormat/>
    <w:pPr>
      <w:widowControl w:val="off"/>
    </w:pPr>
    <w:rPr>
      <w:rFonts w:hint="default" w:ascii="Calibri" w:hAnsi="Calibri" w:eastAsia="宋体" w:cs="Calibri"/>
      <w:color w:val="000000"/>
      <w:sz w:val="24"/>
      <w:szCs w:val="24"/>
      <w:lang w:val="en-US" w:eastAsia="zh-CN" w:bidi="ar-SA"/>
    </w:rPr>
  </w:style>
  <w:style w:type="paragraph" w:styleId="1312" w:customStyle="1">
    <w:name w:val="Table Text"/>
    <w:uiPriority w:val="0"/>
    <w:semiHidden/>
    <w:qFormat/>
    <w:pPr>
      <w:jc w:val="both"/>
      <w:widowControl w:val="off"/>
    </w:pPr>
    <w:rPr>
      <w:rFonts w:hint="default" w:ascii="宋体" w:hAnsi="宋体" w:eastAsia="宋体" w:cs="宋体"/>
      <w:sz w:val="32"/>
      <w:szCs w:val="32"/>
      <w:lang w:val="en-US" w:eastAsia="en-US" w:bidi="ar-SA"/>
    </w:rPr>
  </w:style>
  <w:style w:type="table" w:styleId="1313" w:customStyle="1">
    <w:name w:val="Table Normal"/>
    <w:uiPriority w:val="0"/>
    <w:semiHidden/>
    <w:unhideWhenUsed/>
    <w:qFormat/>
    <w:tblPr>
      <w:tblCellMar>
        <w:left w:w="0" w:type="dxa"/>
        <w:top w:w="0" w:type="dxa"/>
        <w:right w:w="0" w:type="dxa"/>
        <w:bottom w:w="0" w:type="dxa"/>
      </w:tblCellMar>
    </w:tblPr>
  </w:style>
  <w:style w:type="paragraph" w:styleId="1314" w:customStyle="1">
    <w:name w:val="正文111"/>
    <w:next w:val="13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正文首行缩进1"/>
    <w:basedOn w:val="1316"/>
    <w:next w:val="1323"/>
    <w:uiPriority w:val="0"/>
    <w:qFormat/>
    <w:pPr>
      <w:ind w:firstLine="200"/>
      <w:spacing w:line="360" w:lineRule="auto"/>
    </w:pPr>
    <w:rPr>
      <w:rFonts w:ascii="仿宋_GB2312" w:eastAsia="仿宋_GB2312"/>
      <w:sz w:val="30"/>
      <w:szCs w:val="30"/>
    </w:rPr>
  </w:style>
  <w:style w:type="paragraph" w:styleId="1316" w:customStyle="1">
    <w:name w:val="正文文本11"/>
    <w:basedOn w:val="1317"/>
    <w:next w:val="1318"/>
    <w:uiPriority w:val="0"/>
    <w:qFormat/>
    <w:pPr>
      <w:jc w:val="both"/>
      <w:spacing w:after="120"/>
      <w:widowControl w:val="off"/>
    </w:pPr>
    <w:rPr>
      <w:rFonts w:hint="default" w:ascii="Calibri" w:hAnsi="Calibri" w:eastAsia="宋体" w:cs="Times New Roman"/>
      <w:sz w:val="21"/>
      <w:szCs w:val="24"/>
      <w:lang w:val="en-US" w:eastAsia="zh-CN" w:bidi="ar-SA"/>
    </w:rPr>
  </w:style>
  <w:style w:type="paragraph" w:styleId="1317" w:customStyle="1">
    <w:name w:val="正文112"/>
    <w:next w:val="13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正文11"/>
    <w:next w:val="13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文本块1"/>
    <w:basedOn w:val="1320"/>
    <w:uiPriority w:val="0"/>
    <w:qFormat/>
    <w:pPr>
      <w:ind w:left="1440" w:right="1440"/>
      <w:spacing w:after="120"/>
    </w:pPr>
  </w:style>
  <w:style w:type="paragraph" w:styleId="1320" w:customStyle="1">
    <w:name w:val="正文1"/>
    <w:basedOn w:val="1314"/>
    <w:next w:val="1321"/>
    <w:uiPriority w:val="0"/>
    <w:qFormat/>
    <w:pPr>
      <w:jc w:val="both"/>
      <w:widowControl w:val="off"/>
    </w:pPr>
    <w:rPr>
      <w:rFonts w:hint="default" w:ascii="Calibri" w:hAnsi="Calibri" w:eastAsia="宋体" w:cs="Times New Roman"/>
      <w:sz w:val="21"/>
      <w:szCs w:val="24"/>
      <w:lang w:val="en-US" w:eastAsia="zh-CN" w:bidi="ar-SA"/>
    </w:rPr>
  </w:style>
  <w:style w:type="paragraph" w:styleId="1321" w:customStyle="1">
    <w:name w:val="脚注文本1"/>
    <w:basedOn w:val="1320"/>
    <w:next w:val="1322"/>
    <w:uiPriority w:val="0"/>
    <w:qFormat/>
    <w:pPr>
      <w:jc w:val="left"/>
      <w:spacing w:line="360" w:lineRule="atLeast"/>
      <w:widowControl w:val="off"/>
    </w:pPr>
    <w:rPr>
      <w:rFonts w:hint="default" w:ascii="宋体" w:hAnsi="Calibri" w:eastAsia="Times New Roman" w:cs="Times New Roman"/>
      <w:sz w:val="18"/>
      <w:szCs w:val="18"/>
      <w:lang w:val="en-US" w:eastAsia="zh-CN" w:bidi="ar-SA"/>
    </w:rPr>
  </w:style>
  <w:style w:type="paragraph" w:styleId="1322" w:customStyle="1">
    <w:name w:val="索引 51"/>
    <w:next w:val="1320"/>
    <w:uiPriority w:val="0"/>
    <w:qFormat/>
    <w:pPr>
      <w:ind w:left="798"/>
      <w:jc w:val="left"/>
      <w:spacing w:line="360" w:lineRule="atLeast"/>
      <w:widowControl w:val="off"/>
    </w:pPr>
    <w:rPr>
      <w:rFonts w:hint="default" w:ascii="Calibri" w:hAnsi="Calibri" w:eastAsia="宋体" w:cs="Times New Roman"/>
      <w:sz w:val="24"/>
      <w:szCs w:val="20"/>
      <w:lang w:val="en-US" w:eastAsia="zh-CN" w:bidi="ar-SA"/>
    </w:rPr>
  </w:style>
  <w:style w:type="paragraph" w:styleId="1323" w:customStyle="1">
    <w:name w:val="正文首行缩进 21"/>
    <w:basedOn w:val="1324"/>
    <w:next w:val="1314"/>
    <w:uiPriority w:val="0"/>
    <w:qFormat/>
    <w:pPr>
      <w:ind w:firstLine="420"/>
    </w:pPr>
  </w:style>
  <w:style w:type="paragraph" w:styleId="1324" w:customStyle="1">
    <w:name w:val="正文文本缩进1"/>
    <w:next w:val="1325"/>
    <w:uiPriority w:val="0"/>
    <w:qFormat/>
    <w:pPr>
      <w:ind w:left="420"/>
      <w:jc w:val="both"/>
      <w:spacing w:after="120"/>
      <w:widowControl w:val="off"/>
    </w:pPr>
    <w:rPr>
      <w:rFonts w:hint="default" w:ascii="Calibri" w:hAnsi="Calibri" w:eastAsia="宋体" w:cs="Times New Roman"/>
      <w:sz w:val="21"/>
      <w:szCs w:val="24"/>
      <w:lang w:val="en-US" w:eastAsia="zh-CN" w:bidi="ar-SA"/>
    </w:rPr>
  </w:style>
  <w:style w:type="paragraph" w:styleId="1325"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paragraph" w:styleId="1326" w:customStyle="1">
    <w:name w:val="标题 21"/>
    <w:basedOn w:val="1327"/>
    <w:next w:val="1121"/>
    <w:uiPriority w:val="9"/>
    <w:qFormat/>
    <w:pPr>
      <w:numPr>
        <w:ilvl w:val="0"/>
        <w:numId w:val="1"/>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327" w:customStyle="1">
    <w:name w:val="正文12"/>
    <w:next w:val="13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8" w:customStyle="1">
    <w:name w:val="正文文本1"/>
    <w:next w:val="1329"/>
    <w:uiPriority w:val="0"/>
    <w:qFormat/>
    <w:pPr>
      <w:jc w:val="both"/>
      <w:spacing w:after="120"/>
      <w:widowControl w:val="off"/>
    </w:pPr>
    <w:rPr>
      <w:rFonts w:hint="default" w:ascii="Calibri" w:hAnsi="Calibri" w:eastAsia="宋体" w:cs="Times New Roman"/>
      <w:sz w:val="21"/>
      <w:szCs w:val="24"/>
      <w:lang w:val="en-US" w:eastAsia="zh-CN" w:bidi="ar-SA"/>
    </w:rPr>
  </w:style>
  <w:style w:type="paragraph" w:styleId="1329" w:customStyle="1">
    <w:name w:val="一级条标题"/>
    <w:basedOn w:val="1330"/>
    <w:next w:val="133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330" w:customStyle="1">
    <w:name w:val="章标题"/>
    <w:next w:val="132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331" w:customStyle="1">
    <w:name w:val="段"/>
    <w:basedOn w:val="1320"/>
    <w:next w:val="1121"/>
    <w:uiPriority w:val="0"/>
    <w:qFormat/>
    <w:pPr>
      <w:ind w:firstLine="200"/>
      <w:widowControl/>
    </w:pPr>
    <w:rPr>
      <w:rFonts w:ascii="宋体"/>
      <w:sz w:val="20"/>
      <w:szCs w:val="20"/>
    </w:rPr>
  </w:style>
  <w:style w:type="paragraph" w:styleId="1332" w:customStyle="1">
    <w:name w:val="BlockQuote"/>
    <w:uiPriority w:val="0"/>
    <w:qFormat/>
    <w:pPr>
      <w:ind w:left="256" w:right="6" w:firstLine="624"/>
      <w:jc w:val="both"/>
      <w:widowControl w:val="off"/>
    </w:pPr>
    <w:rPr>
      <w:rFonts w:hint="default" w:ascii="Times New Roman" w:hAnsi="Times New Roman" w:eastAsia="仿宋_GB2312" w:cs="Times New Roman"/>
      <w:sz w:val="28"/>
      <w:szCs w:val="24"/>
      <w:lang w:val="en-US" w:eastAsia="zh-CN" w:bidi="ar-SA"/>
    </w:rPr>
  </w:style>
  <w:style w:type="paragraph" w:styleId="1333" w:customStyle="1">
    <w:name w:val="目录 111"/>
    <w:next w:val="1327"/>
    <w:uiPriority w:val="0"/>
    <w:qFormat/>
    <w:pPr>
      <w:ind w:firstLine="0"/>
      <w:jc w:val="left"/>
      <w:spacing w:before="120" w:after="120" w:line="360" w:lineRule="auto"/>
      <w:widowControl w:val="off"/>
      <w:tabs>
        <w:tab w:val="right" w:pos="8296" w:leader="dot"/>
      </w:tabs>
    </w:pPr>
    <w:rPr>
      <w:rFonts w:hint="default" w:ascii="Times New Roman" w:hAnsi="Times New Roman" w:eastAsia="宋体" w:cs="Times New Roman"/>
      <w:sz w:val="21"/>
      <w:szCs w:val="24"/>
      <w:lang w:val="en-US" w:eastAsia="zh-CN" w:bidi="ar-SA"/>
    </w:rPr>
  </w:style>
  <w:style w:type="paragraph" w:styleId="1334" w:customStyle="1">
    <w:name w:val="彩色列表 - 着色 11"/>
    <w:uiPriority w:val="0"/>
    <w:qFormat/>
    <w:pPr>
      <w:ind w:firstLine="420"/>
      <w:jc w:val="both"/>
      <w:widowControl w:val="off"/>
    </w:pPr>
    <w:rPr>
      <w:rFonts w:hint="default" w:ascii="Times New Roman" w:hAnsi="Times New Roman" w:eastAsia="宋体" w:cs="Times New Roman"/>
      <w:sz w:val="20"/>
      <w:szCs w:val="24"/>
      <w:lang w:val="en-US" w:eastAsia="zh-CN" w:bidi="ar-SA"/>
    </w:rPr>
  </w:style>
  <w:style w:type="paragraph" w:styleId="1335" w:customStyle="1">
    <w:name w:val="普通(网站)1"/>
    <w:basedOn w:val="1318"/>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336" w:customStyle="1">
    <w:name w:val="纯文本1"/>
    <w:uiPriority w:val="0"/>
    <w:qFormat/>
    <w:pPr>
      <w:jc w:val="both"/>
      <w:widowControl w:val="off"/>
    </w:pPr>
    <w:rPr>
      <w:rFonts w:hint="default" w:ascii="宋体" w:hAnsi="Courier New" w:eastAsia="宋体" w:cs="Times New Roman"/>
      <w:sz w:val="21"/>
      <w:szCs w:val="21"/>
      <w:lang w:val="en-US" w:eastAsia="zh-CN" w:bidi="ar-SA"/>
    </w:rPr>
  </w:style>
  <w:style w:type="paragraph" w:styleId="1337" w:customStyle="1">
    <w:name w:val="页脚1"/>
    <w:uiPriority w:val="0"/>
    <w:qFormat/>
    <w:pPr>
      <w:jc w:val="left"/>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paragraph" w:styleId="1338"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Calibri" w:hAnsi="Calibri" w:eastAsia="宋体" w:cs="Times New Roman"/>
      <w:sz w:val="18"/>
      <w:szCs w:val="18"/>
      <w:lang w:val="en-US" w:eastAsia="zh-CN" w:bidi="ar-SA"/>
    </w:rPr>
  </w:style>
  <w:style w:type="character" w:styleId="1339" w:customStyle="1">
    <w:name w:val="页码1"/>
    <w:uiPriority w:val="0"/>
    <w:qFormat/>
    <w:rPr>
      <w:rFonts w:hint="default" w:ascii="Calibri" w:hAnsi="Calibri" w:eastAsia="宋体" w:cs="Times New Roman"/>
      <w:sz w:val="21"/>
      <w:szCs w:val="24"/>
      <w:lang w:val="en-US" w:eastAsia="zh-CN" w:bidi="ar-SA"/>
    </w:rPr>
  </w:style>
  <w:style w:type="character" w:styleId="1340" w:customStyle="1">
    <w:name w:val="默认段落字体1"/>
    <w:uiPriority w:val="0"/>
    <w:semiHidden/>
    <w:qFormat/>
  </w:style>
  <w:style w:type="character" w:styleId="1341" w:customStyle="1">
    <w:name w:val="NormalCharacter1"/>
    <w:uiPriority w:val="0"/>
    <w:semiHidden/>
    <w:qFormat/>
    <w:rPr>
      <w:sz w:val="21"/>
      <w:szCs w:val="24"/>
      <w:lang w:val="en-US" w:eastAsia="zh-CN" w:bidi="ar-SA"/>
    </w:rPr>
  </w:style>
  <w:style w:type="paragraph" w:styleId="1342" w:customStyle="1">
    <w:name w:val="文档结构图1"/>
    <w:basedOn w:val="1121"/>
    <w:uiPriority w:val="99"/>
    <w:unhideWhenUsed/>
    <w:qFormat/>
    <w:rPr>
      <w:rFonts w:ascii="宋体"/>
      <w:sz w:val="18"/>
      <w:szCs w:val="18"/>
    </w:rPr>
  </w:style>
  <w:style w:type="paragraph" w:styleId="1343" w:customStyle="1">
    <w:name w:val="table"/>
    <w:uiPriority w:val="0"/>
    <w:qFormat/>
    <w:pPr>
      <w:framePr w:hSpace="180" w:wrap="around" w:vAnchor="text" w:hAnchor="margin" w:y="1418"/>
    </w:pPr>
    <w:rPr>
      <w:rFonts w:ascii="宋体" w:hAnsi="Calibri" w:eastAsia="宋体" w:cs="Times New Roman"/>
      <w:sz w:val="24"/>
      <w:szCs w:val="22"/>
      <w:lang w:val="en-US" w:eastAsia="zh-CN" w:bidi="ar-SA"/>
    </w:rPr>
  </w:style>
  <w:style w:type="numbering" w:styleId="13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customXml" Target="../customXml/item1.xml" /><Relationship Id="rId2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汪小柳</cp:lastModifiedBy>
  <cp:revision>10</cp:revision>
  <dcterms:created xsi:type="dcterms:W3CDTF">2025-03-19T03:02:00Z</dcterms:created>
  <dcterms:modified xsi:type="dcterms:W3CDTF">2025-12-02T02:20:45Z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FF8EAE38827C4016B3C61AB5C11B425D_11</vt:lpwstr>
  </property>
  <property fmtid="{D5CDD505-2E9C-101B-9397-08002B2CF9AE}" pid="4" name="KSOTemplateDocerSaveRecord">
    <vt:lpwstr>eyJoZGlkIjoiMWIxODljNTcxZjU1MjUwZmRmYjgyNDJjY2EzZjNjOGMiLCJ1c2VySWQiOiIxMzg0NTY4NjY4In0=</vt:lpwstr>
  </property>
</Properties>
</file>